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Temática 10: Violencia, Castigo y Sociedad.</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Violência e Estado de Exceção em Walter Benjamin</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Michel Amary Neto – Universidade de São Paulo – Pós-graduando no Departamento de Filosofia </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color w:val="222222"/>
          <w:highlight w:val="white"/>
        </w:rPr>
      </w:pPr>
      <w:r w:rsidDel="00000000" w:rsidR="00000000" w:rsidRPr="00000000">
        <w:rPr>
          <w:rFonts w:ascii="Arial" w:cs="Arial" w:eastAsia="Arial" w:hAnsi="Arial"/>
          <w:sz w:val="28"/>
          <w:szCs w:val="28"/>
          <w:rtl w:val="0"/>
        </w:rPr>
        <w:t xml:space="preserve">Resumen: </w:t>
      </w:r>
      <w:r w:rsidDel="00000000" w:rsidR="00000000" w:rsidRPr="00000000">
        <w:rPr>
          <w:rFonts w:ascii="Arial" w:cs="Arial" w:eastAsia="Arial" w:hAnsi="Arial"/>
          <w:color w:val="222222"/>
          <w:highlight w:val="white"/>
          <w:rtl w:val="0"/>
        </w:rPr>
        <w:t xml:space="preserve">Nosso objetivo é acompanhar a crítica à violência de Walter Benjamin a partir de seu ensaio </w:t>
      </w:r>
      <w:r w:rsidDel="00000000" w:rsidR="00000000" w:rsidRPr="00000000">
        <w:rPr>
          <w:rFonts w:ascii="Arial" w:cs="Arial" w:eastAsia="Arial" w:hAnsi="Arial"/>
          <w:i w:val="1"/>
          <w:color w:val="222222"/>
          <w:highlight w:val="white"/>
          <w:rtl w:val="0"/>
        </w:rPr>
        <w:t xml:space="preserve">Para uma crítica a violência</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i w:val="1"/>
          <w:color w:val="222222"/>
          <w:highlight w:val="white"/>
          <w:rtl w:val="0"/>
        </w:rPr>
        <w:t xml:space="preserve">Zur Kritik der Gewalt</w:t>
      </w:r>
      <w:r w:rsidDel="00000000" w:rsidR="00000000" w:rsidRPr="00000000">
        <w:rPr>
          <w:rFonts w:ascii="Arial" w:cs="Arial" w:eastAsia="Arial" w:hAnsi="Arial"/>
          <w:color w:val="222222"/>
          <w:highlight w:val="white"/>
          <w:rtl w:val="0"/>
        </w:rPr>
        <w:t xml:space="preserve">). Em primeiro lugar devemos acompanhar como a experiência da Primeira Guerra Mundial e da República de Weimar marcaram seu diagnóstico de época, a partir daí apresentamos a espetacularização e mistificação da violência. Após, devemos apresentar a diferença da violência como meio e fim (</w:t>
      </w:r>
      <w:r w:rsidDel="00000000" w:rsidR="00000000" w:rsidRPr="00000000">
        <w:rPr>
          <w:rFonts w:ascii="Arial" w:cs="Arial" w:eastAsia="Arial" w:hAnsi="Arial"/>
          <w:i w:val="1"/>
          <w:color w:val="222222"/>
          <w:highlight w:val="white"/>
          <w:rtl w:val="0"/>
        </w:rPr>
        <w:t xml:space="preserve">Geswalt</w:t>
      </w:r>
      <w:r w:rsidDel="00000000" w:rsidR="00000000" w:rsidRPr="00000000">
        <w:rPr>
          <w:rFonts w:ascii="Arial" w:cs="Arial" w:eastAsia="Arial" w:hAnsi="Arial"/>
          <w:color w:val="222222"/>
          <w:highlight w:val="white"/>
          <w:rtl w:val="0"/>
        </w:rPr>
        <w:t xml:space="preserve">) relacionados ao Estado, Direito e manutenção do Poder (</w:t>
      </w:r>
      <w:r w:rsidDel="00000000" w:rsidR="00000000" w:rsidRPr="00000000">
        <w:rPr>
          <w:rFonts w:ascii="Arial" w:cs="Arial" w:eastAsia="Arial" w:hAnsi="Arial"/>
          <w:i w:val="1"/>
          <w:color w:val="222222"/>
          <w:highlight w:val="white"/>
          <w:rtl w:val="0"/>
        </w:rPr>
        <w:t xml:space="preserve">Macht</w:t>
      </w:r>
      <w:r w:rsidDel="00000000" w:rsidR="00000000" w:rsidRPr="00000000">
        <w:rPr>
          <w:rFonts w:ascii="Arial" w:cs="Arial" w:eastAsia="Arial" w:hAnsi="Arial"/>
          <w:color w:val="222222"/>
          <w:highlight w:val="white"/>
          <w:rtl w:val="0"/>
        </w:rPr>
        <w:t xml:space="preserve">), de uma violência divina e redentora (</w:t>
      </w:r>
      <w:r w:rsidDel="00000000" w:rsidR="00000000" w:rsidRPr="00000000">
        <w:rPr>
          <w:rFonts w:ascii="Arial" w:cs="Arial" w:eastAsia="Arial" w:hAnsi="Arial"/>
          <w:i w:val="1"/>
          <w:color w:val="222222"/>
          <w:highlight w:val="white"/>
          <w:rtl w:val="0"/>
        </w:rPr>
        <w:t xml:space="preserve">die göttliche Gewalt</w:t>
      </w:r>
      <w:r w:rsidDel="00000000" w:rsidR="00000000" w:rsidRPr="00000000">
        <w:rPr>
          <w:rFonts w:ascii="Arial" w:cs="Arial" w:eastAsia="Arial" w:hAnsi="Arial"/>
          <w:color w:val="222222"/>
          <w:highlight w:val="white"/>
          <w:rtl w:val="0"/>
        </w:rPr>
        <w:t xml:space="preserve">) que aniquilaria a esfera do Direito. Com isso, devemos esboçar algumas questões que travou no debate com o jurista Carl Schmitt e relacionar esses conceitos de violência com o conceito de estado de exceção (</w:t>
      </w:r>
      <w:r w:rsidDel="00000000" w:rsidR="00000000" w:rsidRPr="00000000">
        <w:rPr>
          <w:rFonts w:ascii="Arial" w:cs="Arial" w:eastAsia="Arial" w:hAnsi="Arial"/>
          <w:i w:val="1"/>
          <w:color w:val="222222"/>
          <w:highlight w:val="white"/>
          <w:rtl w:val="0"/>
        </w:rPr>
        <w:t xml:space="preserve">Ausnahme-Zuständ</w:t>
      </w:r>
      <w:r w:rsidDel="00000000" w:rsidR="00000000" w:rsidRPr="00000000">
        <w:rPr>
          <w:rFonts w:ascii="Arial" w:cs="Arial" w:eastAsia="Arial" w:hAnsi="Arial"/>
          <w:color w:val="222222"/>
          <w:highlight w:val="white"/>
          <w:rtl w:val="0"/>
        </w:rPr>
        <w:t xml:space="preserve">).</w:t>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Violência e Estado de Exceção em Walter Benjamin</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No mesmo período em que Benjamin elaborava a sua </w:t>
      </w:r>
      <w:r w:rsidDel="00000000" w:rsidR="00000000" w:rsidRPr="00000000">
        <w:rPr>
          <w:rFonts w:ascii="Arial" w:cs="Arial" w:eastAsia="Arial" w:hAnsi="Arial"/>
          <w:i w:val="1"/>
          <w:rtl w:val="0"/>
        </w:rPr>
        <w:t xml:space="preserve">Habilitacion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Origem do drama barroco alemão (Ursprung des deutschen Trauerspiel)</w:t>
      </w:r>
      <w:r w:rsidDel="00000000" w:rsidR="00000000" w:rsidRPr="00000000">
        <w:rPr>
          <w:rFonts w:ascii="Arial" w:cs="Arial" w:eastAsia="Arial" w:hAnsi="Arial"/>
          <w:rtl w:val="0"/>
        </w:rPr>
        <w:t xml:space="preserve">, a Alemanha vivia um conturbado momento de instabilidade política que contribuiu muito para o destino de sua obra. Inicialmente, a preocupação que o filósofo tinha sobre os assuntos estéticos e, em particular, a percepção do drama barroco no contexto alemão, esquecida como um gênero literário menor, como um mero simulacro da tragédia grega, ganhou novos contornos com a compreensão dos ecos da política do século XVII que ressoavam em seu próprio tempo, fazendo do trágico, expressão da política a partir do conceito de estado de exceção. Em um cenário marcado por guerras, traições, e assassinatos, Benjamin acompanhou de perto o jogo político de sua época encontrando na tragédia do barroco a encenação teatral da história do período; um espelhamento que veio a se confirmar com profundidade no conturbado nascimento da República de Weimar e na barbárie que a sucedeu após sua breve duração (1919-1933)</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Primeiro, ganham destaque em seu pensamento as marcas da experiência sem precedentes da Primeira Guerra Mundial que não apenas inaugurava a Era da técnica na guerra, como deixara uma ferida exposta na identidade alemã, a chamada “germanidade”. Diz o filósofo que: </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left="2268"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última guerra tem uma característica especial. Ela não foi somente a guerra das batalhas de material, foi também a guerra perdida. Perdida em um sentido muito particular, pelos alemães. Outros povos podem afirmar que lutaram uma guerra a partir de sua substância mais íntima. Mas nunca nenhum afirmou que a perdeu a partir de sua substância mais íntima. O que há de singular nesta última fase do confronto da guerra perdida que desde 1919 convulsiona a Alemanha, é que justamente a derrota que é mobilizada pela germanidade” (BENJAMIN, 1996: 64,65)</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 A historiografia, representada na coletânea </w:t>
      </w:r>
      <w:r w:rsidDel="00000000" w:rsidR="00000000" w:rsidRPr="00000000">
        <w:rPr>
          <w:rFonts w:ascii="Arial" w:cs="Arial" w:eastAsia="Arial" w:hAnsi="Arial"/>
          <w:i w:val="1"/>
          <w:rtl w:val="0"/>
        </w:rPr>
        <w:t xml:space="preserve">Guerra e Paz</w:t>
      </w:r>
      <w:r w:rsidDel="00000000" w:rsidR="00000000" w:rsidRPr="00000000">
        <w:rPr>
          <w:rFonts w:ascii="Arial" w:cs="Arial" w:eastAsia="Arial" w:hAnsi="Arial"/>
          <w:rtl w:val="0"/>
        </w:rPr>
        <w:t xml:space="preserve"> de Ernest Jünger, mostrava enfaticamente que com a campanha alemã, não se perdeu apenas a substância material em disputa na guerra, a superioridade técnica e alguns mercados, a derrota foi vivida como perda da substância espiritual da nação. Devemos lembrar que a “germanidade” foi inscrita ao longo dos séculos pela cultura da guerra no espírito alemão, a guerra foi vivenciada desde a formação do Estado Alemão como uma experiência que fortalecia o sentimento do patriotismo e de potencia que aspirava a jovem nação se perpetuando como um ritual</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A perda da guerra tornou-se pior que a própria guerra, pois se “o vencedor conserva a guerra, o derrotado deixa de possuí-la, o vencedor a incorpora em seu patrimônio, transforma em coisa sua, o vencido não tem mais, é obrigado a viver sem ela” (ibidem: 65), de modo complementar o seu desfecho “altera o modo de existência para nós” (ibidem: 65). Desse modo é que a derrota que se manifesta como perda de identidade, o mal-estar espiritual que abrange a época, coloca o alemão em analogia com o homem barroco que viu na ausência de Deus, seu mundo em decomposição.</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Ainda sobre a Primeira Guerra, Benjamin ainda percebe na técnica uma mistificação da violencia em forma de heroísmo, próxima a que o homem barroco faz com a História como segunda natureza:</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left="2268"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 lança chamas e trincheiras, a técnica tentou realçar os traços heroicos no rosto do idealismo alemão. Foi um equivoco. Porque os traços que elas julgavam heroicos eram na verdade traços hipocráticos da morte. Por isso, tão profundamente impregnada por sua própria perversidade, a técnica modelou o rosto apocalíptico da natureza e reduziu-a ao silêncio, embora pudesse ter sido a força capaz de dar-lhe voz. A guerra como abstração metafísica, professada pelo novo nacionalismo é unicamente a tentativa de dissolver a técnica de modo mítico e imediato, o segredo da natureza concebida em termos idealistas, em vez de utilizar e explicar esse segredo, por um desvio, através da construção de coisas humanas” (BENJAMIN, 1996: 70).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Sob a poeira do ideal patriótico e do heroísmo que ainda veremos, escondia-se o domínio da racionalidade técnica como domínio da história sobre a natureza. Benjamin apontava nas palavras queixosas dos combatentes que a forma da guerra deixara o corpo a corpo pela “guerra material, cegamente mecânica” (ibidem, ibidem), em sua expressão técnica e material “a guerra hoje em dia não é mais conduzida, mas administrada” (ibidem: 66), mas, ao mesmo tempo, “a guerra foge a qualquer economia regida pela inteligência, em sua razão existe algo de sobre-humano, desmedido (...) que hoje já se tornaram míticos, canalizadas para tarefas que ultrapassam os limites do que hoje pode ser compreendido” (ibidem: 64). Ao mesmo tempo em que o aparelho material se sobressaia sobre a vida cantando as glorias da superioridade da técnica na guerra, a técnica escapa da compreensão humana, dos limites do entendimento torna-se unicamente natureza. Como a violência que liberada não permite mais controle, a técnica tem como fim a sua reprodutibilidade material, como posto e reposto ela é apenas repetição, sem objetivo a não ser seu próprio autopotenciamento, ela se desenvolve mecanicamente em um rito de destruição. Assim, repete a mesma trajetória da História no barroco alemão que se reproduz na tragédia; a tragédia que não rompe com as artimanhas do destino e instaura a nova ordem, pelo contrário, reproduzindo-se como uma sucessão de tragédias, a guerra torna-se eterna e a técnica, natureza.</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Neste contexto, devemos entender que a formação da República de Weimar como uma tentativa frustrada de recuperar o orgulho ferido da nação que se viu humilhada pela confissão de culpa perante humanidade e pelas imposições do </w:t>
      </w:r>
      <w:r w:rsidDel="00000000" w:rsidR="00000000" w:rsidRPr="00000000">
        <w:rPr>
          <w:rFonts w:ascii="Arial" w:cs="Arial" w:eastAsia="Arial" w:hAnsi="Arial"/>
          <w:i w:val="1"/>
          <w:rtl w:val="0"/>
        </w:rPr>
        <w:t xml:space="preserve">Tratado de Versailles</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A cidade de Weimar não foi escolhida como capital da república apenas pela destruição de Berlim, mas sim por ter como seu autóctone mais ilustre J. W. Goethe</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A capital intelectual da Alemanha não somente representava lembranças da “germanidade”, dos valores clássicos do idealismo alemão e do romantismo que calcaram o pensamento e a sua cultura, como também o ideal de grandeza desse povo que apesar da potência de seu pensamento, não deu vazão a realizações políticas e econômicas e não viu sua revolução burguesa passar</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e mantendo-se presa ao conservadorismo e a tradição feudal, viu uma rápida e repentina industrialização querer se colocar como novo </w:t>
      </w:r>
      <w:r w:rsidDel="00000000" w:rsidR="00000000" w:rsidRPr="00000000">
        <w:rPr>
          <w:rFonts w:ascii="Arial" w:cs="Arial" w:eastAsia="Arial" w:hAnsi="Arial"/>
          <w:i w:val="1"/>
          <w:rtl w:val="0"/>
        </w:rPr>
        <w:t xml:space="preserve">ethos</w:t>
      </w:r>
      <w:r w:rsidDel="00000000" w:rsidR="00000000" w:rsidRPr="00000000">
        <w:rPr>
          <w:rFonts w:ascii="Arial" w:cs="Arial" w:eastAsia="Arial" w:hAnsi="Arial"/>
          <w:rtl w:val="0"/>
        </w:rPr>
        <w:t xml:space="preserve"> da “germanidade” abalada</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rtl w:val="0"/>
        </w:rPr>
        <w:t xml:space="preserve">.</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Nos embates que envolveram a promulgação da Constituição de Weimar em 1919, o consenso foi estabelecido na fé depositada em uma cadente ideologia do progresso. Na busca por resgatar na república a unidade nacional a socialdemocracia assumira a responsabilidade da integração democrática das classes sociais ao fechado jogo político alemão</w:t>
      </w:r>
      <w:r w:rsidDel="00000000" w:rsidR="00000000" w:rsidRPr="00000000">
        <w:rPr>
          <w:rFonts w:ascii="Arial" w:cs="Arial" w:eastAsia="Arial" w:hAnsi="Arial"/>
          <w:vertAlign w:val="superscript"/>
        </w:rPr>
        <w:footnoteReference w:customMarkFollows="0" w:id="6"/>
      </w:r>
      <w:r w:rsidDel="00000000" w:rsidR="00000000" w:rsidRPr="00000000">
        <w:rPr>
          <w:rFonts w:ascii="Arial" w:cs="Arial" w:eastAsia="Arial" w:hAnsi="Arial"/>
          <w:rtl w:val="0"/>
        </w:rPr>
        <w:t xml:space="preserve">, concentrando-se na pluralidade de interesses, de direitos individuais relacionados a um espectro mais liberal à direitos sociais “ligados aos princípios de igualdade material que dependem de prestações diretas e indiretas do Estado” (BERCOVINI, 2004a, p.25)</w:t>
      </w:r>
      <w:r w:rsidDel="00000000" w:rsidR="00000000" w:rsidRPr="00000000">
        <w:rPr>
          <w:rFonts w:ascii="Arial" w:cs="Arial" w:eastAsia="Arial" w:hAnsi="Arial"/>
          <w:vertAlign w:val="superscript"/>
        </w:rPr>
        <w:footnoteReference w:customMarkFollows="0" w:id="7"/>
      </w:r>
      <w:r w:rsidDel="00000000" w:rsidR="00000000" w:rsidRPr="00000000">
        <w:rPr>
          <w:rFonts w:ascii="Arial" w:cs="Arial" w:eastAsia="Arial" w:hAnsi="Arial"/>
          <w:rtl w:val="0"/>
        </w:rPr>
        <w:t xml:space="preserve">. Como os primeiros passos para consolidação de uma nova unidade nacional eram conquistar a estabilização econômica do país em reconstrução, os socialdemocratas pautaram sua política econômica no desenvolvimentismo de um capitalismo organizado na república, influenciada pelo economista Rudolf Hilferding. O curto sucesso que se obteve durante 1923 e 1924 foi o suficiente para a ampliação do projeto de racionalização da economia alemã por parte do Estado, “o progresso técnico começou a ser visto como o caminho das melhorias sociais futuras” (ibidem, p.53) garantindo a eficácia e a eficiência da sociedade e seus recursos (Cf. BENJAMIN, 2005, Tese XI: 100). Esse caminho que se manteve em disputa mesmo em seus anos dourados, logo desmoronou com a crise econômica que se seguiu após Grande Depressão de 1929, com hiperinflação e altas taxas de desemprego</w:t>
      </w:r>
      <w:r w:rsidDel="00000000" w:rsidR="00000000" w:rsidRPr="00000000">
        <w:rPr>
          <w:rFonts w:ascii="Arial" w:cs="Arial" w:eastAsia="Arial" w:hAnsi="Arial"/>
          <w:vertAlign w:val="superscript"/>
        </w:rPr>
        <w:footnoteReference w:customMarkFollows="0" w:id="8"/>
      </w:r>
      <w:r w:rsidDel="00000000" w:rsidR="00000000" w:rsidRPr="00000000">
        <w:rPr>
          <w:rFonts w:ascii="Arial" w:cs="Arial" w:eastAsia="Arial" w:hAnsi="Arial"/>
          <w:rtl w:val="0"/>
        </w:rPr>
        <w:t xml:space="preserve"> formando nas classes médias a massa para o nazismo.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 Enquanto a socialdemocracia alemã apostava no tecnicismo político e econômico de Karl Kautsky e Rudolf Hilferding para uma transição pacífica para o socialismo, que “como verdadeiros políticos só fazem projetos a prazo” (BENJAMIN, 2012: 42), Benjamin acionava o </w:t>
      </w:r>
      <w:r w:rsidDel="00000000" w:rsidR="00000000" w:rsidRPr="00000000">
        <w:rPr>
          <w:rFonts w:ascii="Arial" w:cs="Arial" w:eastAsia="Arial" w:hAnsi="Arial"/>
          <w:i w:val="1"/>
          <w:rtl w:val="0"/>
        </w:rPr>
        <w:t xml:space="preserve">Alarme contra o incêndio</w:t>
      </w:r>
      <w:r w:rsidDel="00000000" w:rsidR="00000000" w:rsidRPr="00000000">
        <w:rPr>
          <w:rFonts w:ascii="Arial" w:cs="Arial" w:eastAsia="Arial" w:hAnsi="Arial"/>
          <w:i w:val="1"/>
          <w:vertAlign w:val="superscript"/>
        </w:rPr>
        <w:footnoteReference w:customMarkFollows="0" w:id="9"/>
      </w:r>
      <w:r w:rsidDel="00000000" w:rsidR="00000000" w:rsidRPr="00000000">
        <w:rPr>
          <w:rFonts w:ascii="Arial" w:cs="Arial" w:eastAsia="Arial" w:hAnsi="Arial"/>
          <w:rtl w:val="0"/>
        </w:rPr>
        <w:t xml:space="preserve"> prevendo que se não fosse interrompido rastilho dessa história naturalista e evolucionista “até um momento rapidamente calculável da evolução economia e técnica (a inflação e a guerra de gás parecem assinalá-los), então tudo estará perdido” (ibidem, ibidem). A ingerência da ideologia do progresso pela socialdemocracia não apenas enfraqueceu uma esquerda revolucionária socialista e sua “revolução inacabada” de 1918</w:t>
      </w:r>
      <w:r w:rsidDel="00000000" w:rsidR="00000000" w:rsidRPr="00000000">
        <w:rPr>
          <w:rFonts w:ascii="Arial" w:cs="Arial" w:eastAsia="Arial" w:hAnsi="Arial"/>
          <w:vertAlign w:val="superscript"/>
        </w:rPr>
        <w:footnoteReference w:customMarkFollows="0" w:id="10"/>
      </w:r>
      <w:r w:rsidDel="00000000" w:rsidR="00000000" w:rsidRPr="00000000">
        <w:rPr>
          <w:rFonts w:ascii="Arial" w:cs="Arial" w:eastAsia="Arial" w:hAnsi="Arial"/>
          <w:rtl w:val="0"/>
        </w:rPr>
        <w:t xml:space="preserve"> como fortaleceu a “revolução conservadora” ou ortodoxa</w:t>
      </w:r>
      <w:r w:rsidDel="00000000" w:rsidR="00000000" w:rsidRPr="00000000">
        <w:rPr>
          <w:rFonts w:ascii="Arial" w:cs="Arial" w:eastAsia="Arial" w:hAnsi="Arial"/>
          <w:vertAlign w:val="superscript"/>
        </w:rPr>
        <w:footnoteReference w:customMarkFollows="0" w:id="11"/>
      </w:r>
      <w:r w:rsidDel="00000000" w:rsidR="00000000" w:rsidRPr="00000000">
        <w:rPr>
          <w:rFonts w:ascii="Arial" w:cs="Arial" w:eastAsia="Arial" w:hAnsi="Arial"/>
          <w:rtl w:val="0"/>
        </w:rPr>
        <w:t xml:space="preserve"> que trocou o sinal da Constituição de Weimar. Se a vitória do Partido Social Democrata Alemão (SPD), que sistematizou os direitos como um compromisso constitucional (</w:t>
      </w:r>
      <w:r w:rsidDel="00000000" w:rsidR="00000000" w:rsidRPr="00000000">
        <w:rPr>
          <w:rFonts w:ascii="Arial" w:cs="Arial" w:eastAsia="Arial" w:hAnsi="Arial"/>
          <w:i w:val="1"/>
          <w:rtl w:val="0"/>
        </w:rPr>
        <w:t xml:space="preserve">Verfassungskompromiss</w:t>
      </w:r>
      <w:r w:rsidDel="00000000" w:rsidR="00000000" w:rsidRPr="00000000">
        <w:rPr>
          <w:rFonts w:ascii="Arial" w:cs="Arial" w:eastAsia="Arial" w:hAnsi="Arial"/>
          <w:rtl w:val="0"/>
        </w:rPr>
        <w:t xml:space="preserve">) do Estado social, realizando uma transição gradual, pacifica e democrática ao socialismo deu prevalência a interpretação hegeliana da Constituição</w:t>
      </w:r>
      <w:r w:rsidDel="00000000" w:rsidR="00000000" w:rsidRPr="00000000">
        <w:rPr>
          <w:rFonts w:ascii="Arial" w:cs="Arial" w:eastAsia="Arial" w:hAnsi="Arial"/>
          <w:vertAlign w:val="superscript"/>
        </w:rPr>
        <w:footnoteReference w:customMarkFollows="0" w:id="12"/>
      </w:r>
      <w:r w:rsidDel="00000000" w:rsidR="00000000" w:rsidRPr="00000000">
        <w:rPr>
          <w:rFonts w:ascii="Arial" w:cs="Arial" w:eastAsia="Arial" w:hAnsi="Arial"/>
          <w:rtl w:val="0"/>
        </w:rPr>
        <w:t xml:space="preserve">. Todavia, o agravamento da crise econômica fez de Weimar uma “republica sem republicanos” (DYMETMAN, 2002: 11), a “revolução conservadora” inverte a chave da interpretação jurídica que favorecia a socialdemocracia, fazendo-a mostrar sua outra face no conservadorismo antiliberal da teoria jurídica de Carl Schmidt. Os impasses que fizeram Otto Kirchheimer apontar a Constituição de Weimar como a “Constituição sem decisão” (BERCOVINI, 2004a: 30,33), ganha no decisionismo schmidittiano um caráter positivo de Estado Total que se consolida no surgimento do nazismo na realização de seu artigo 48. De repente, a Constituição se viu contra a República.</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O artigo 48 da Constituição de Weimar, em seu parágrafo 2, previa que: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left="2268"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um Estado não cumpre as obrigações a ele impostas pela Constituição ou pelas leis do Reich, o presidente do reich pode impô-las com ajuda das forças armadas. Em caso de graves distúrbios ou ameaças à ordem pública e a segurança, o presidente do Reich pode tomar as medidas necessárias para sua restauração, intervindo, se preciso com a ajuda das forças armadas. Para isso, pode, temporariamente, no todo ou em parte ab-rogar os princípios fundamentais que constam nos artigos: 114, 115, 117, 118, 123, 124, 153”. (DYMENTMAN. 2002: 109)</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A posição do presidente do Reich nesse artigo expressa o mesmo dilema que Benjamin percebeu no monarca barroco do século XVII que em sua posição de soberania deveria decidir sobre o estado de exceção, proclamando-o em nome do bem-estar e da paz. No barroco alemão, Benjamin empresta o conceito moderno de soberania que encontra na </w:t>
      </w:r>
      <w:r w:rsidDel="00000000" w:rsidR="00000000" w:rsidRPr="00000000">
        <w:rPr>
          <w:rFonts w:ascii="Arial" w:cs="Arial" w:eastAsia="Arial" w:hAnsi="Arial"/>
          <w:i w:val="1"/>
          <w:rtl w:val="0"/>
        </w:rPr>
        <w:t xml:space="preserve">Teologia Política</w:t>
      </w:r>
      <w:r w:rsidDel="00000000" w:rsidR="00000000" w:rsidRPr="00000000">
        <w:rPr>
          <w:rFonts w:ascii="Arial" w:cs="Arial" w:eastAsia="Arial" w:hAnsi="Arial"/>
          <w:rtl w:val="0"/>
        </w:rPr>
        <w:t xml:space="preserve"> de Carl Schmitt</w:t>
      </w:r>
      <w:r w:rsidDel="00000000" w:rsidR="00000000" w:rsidRPr="00000000">
        <w:rPr>
          <w:rFonts w:ascii="Arial" w:cs="Arial" w:eastAsia="Arial" w:hAnsi="Arial"/>
          <w:vertAlign w:val="superscript"/>
        </w:rPr>
        <w:footnoteReference w:customMarkFollows="0" w:id="13"/>
      </w:r>
      <w:r w:rsidDel="00000000" w:rsidR="00000000" w:rsidRPr="00000000">
        <w:rPr>
          <w:rFonts w:ascii="Arial" w:cs="Arial" w:eastAsia="Arial" w:hAnsi="Arial"/>
          <w:rtl w:val="0"/>
        </w:rPr>
        <w:t xml:space="preserve"> para caracterizar o soberano como a figura intocável que deve domar o processo histórico que aparece inconstante, instável e ao acaso. Contudo dá uma respostá crítica ao jurista. Benjamin não deixa de indicar a contradição entre estado de exceção e bem-estar, própria da modernidade filosófica, encontrando-a na presença sob Maquiavel, na tensão entre a legalidade e a manutenção da ordem que só poderia se resolver pela ação do soberano na suspensão temporária da lei. Em suas origens no direito romano, deve-se frisar o caráter temporário da suspensão da lei, o estado de exceção aparecendo como um instrumento jurídico para defender o país de uma ameaça externa, suspendendo temporariamente o Estado de Direito perante avaliação do Congresso. Na modernidade filosófica do século XVII o caráter temporário que limitaria o poder absoluto do soberano desaparece porque a sua própria autoridade é absoluta e porque seu poder não é regulado constitucionalmente, é fundamentado na sua condição teológica que percebe o seu corpo de rei próximo de Deus. O aparecimento de um estado de exceção na Alemanha do século XX ganhava um contorno excepcional da contradição de seu próprio tempo, uma vez que além do dilema do soberano que estava acima da lei, a Constituição de Weimar fundada pelos ideais republicanos e democráticos mantinha dentro de sua ordem, o estado de exceção, mantendo-se durante todo o período até o nazismo em que se tornou permanente. Nessa chave que podemos ler sua VIII tese sobre a história: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left="2268"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tradição dos oprimidos nos ensina que o estado de exceção no qual vivemos é regra geral. Precisamos chegar a um conceito de história que dê conta disso. Então surgirá diante de nós nossa tarefa, a de instaurar o real estado de exceção. A chance deste consiste, não por último, em que seus adversários o afrontem em nome do progresso como se este fosse norma histórica. O espanto em constatar que os acontecimentos que vimos ainda seja possíveis no século XX não é nenhum espanto filosófico. Ele não está no inicio de nenhum conhecimento, a menos que seja o de mostrar que a representação de história donde provém aquele espanto é insustentável (BENJAMIN, 2014b: 83)</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Quando Benjamin remonta a tradição dos oprimidos, ele traz a necessidade de interrupção dessa história que se constituiu na ideia de progresso como opressão e barbárie, uma interrupção que se dá apenas com rompimento do tempo histórico dominante. Um salto que talvez nem a luta de classes instaurada na metrópole moderna pode realizar. “O materialista histórico não pode renunciar o conceito de um presente que não é transição (...), pois este conceito define exatamente o presente que ele escreve a história para si mesmo” (BENJAMIN, 2014b, TESE XVI: 128) Para Benjamin, também “Marx é tributário do historicismo dos vencedores” (MATOS, 1996: 67) que percebem a história como um curso em evolução, ele não rompe com a continuidade natural do tempo, pelo contrário, quando vê “nas revoluções a locomotiva da história universal” (BENJAMIN, 2012: xx) ele faz da revolução ideia do progresso da história e não da interrupção dessa história, “o gesto de acionar o travão de emergência por parte do gênero humano que viaja nesse comboio” (ibidem, xx), a tradição dos oprimidos. Por isso que, como a Modernidade, “Marx secularizou na ideia de sociedade sem classes a ideia de tempo messiânico” (ibidem, xx), a sociedade sem classes e sem opressão que se representaria na descontinuidade do tempo, na condição divina do messianismo do qual nada pode ser dito, no estado de exceção real, faz-se apenas um signo de imobilização do tempo histórico que progride em um eterno retorno do mesmo, como tradição dos oprimidos, o estado de exceção torna-se permanente nesse tempo teológico secularizado.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Mais uma vez, Benjamin encontra eco na </w:t>
      </w:r>
      <w:r w:rsidDel="00000000" w:rsidR="00000000" w:rsidRPr="00000000">
        <w:rPr>
          <w:rFonts w:ascii="Arial" w:cs="Arial" w:eastAsia="Arial" w:hAnsi="Arial"/>
          <w:i w:val="1"/>
          <w:rtl w:val="0"/>
        </w:rPr>
        <w:t xml:space="preserve">Teologia Política</w:t>
      </w:r>
      <w:r w:rsidDel="00000000" w:rsidR="00000000" w:rsidRPr="00000000">
        <w:rPr>
          <w:rFonts w:ascii="Arial" w:cs="Arial" w:eastAsia="Arial" w:hAnsi="Arial"/>
          <w:rtl w:val="0"/>
        </w:rPr>
        <w:t xml:space="preserve"> de Carl Schmitt em que:</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left="2268"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Todos os conceitos expressivos na moderna doutrina do Estado são conceitos teológicos secularizados. Para jurisprudência, o estado de exceção possui significado análogo ao do milagre na teologia.  A idéia do Estado do direito moderno conseguiu disseminar-se com o deísmo, com uma teologia e uma metafísica que expulsaram o milagre do mundo e que também rejeitavam uma violação das leis naturais, por meio de uma intervenção direta que institui uma exceção, do mesmo modo que a intervenção direta do soberano na ordem jurídica vigente” (SCHMITT, 1996: 109)</w:t>
      </w:r>
    </w:p>
    <w:p w:rsidR="00000000" w:rsidDel="00000000" w:rsidP="00000000" w:rsidRDefault="00000000" w:rsidRPr="00000000">
      <w:pPr>
        <w:spacing w:after="0" w:before="0" w:line="360" w:lineRule="auto"/>
        <w:ind w:firstLine="709"/>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A secularização nas democracias liberais era representada pelo suposto caráter de neutralização dos conflitos políticos, a política que passava mais pela antítese de interesses, deveria ter em seu Estado Moderno uma arena na qual pudesse se estabilizar em suposta paz social. O estado de exceção é visto como mais um desses instrumentos estabilizadores da ordem social. Schmitt via nessa neutralização uma despolitização do político que na Modernidade se tornara refém da corrupção econômica e do progresso cientifico, a ideia de neutralidade liberal que submetia o Estado às leis, impedia sua atuação no político que requer decisão e não discussão. Nesse sentido que os liberais eram deístas, com o decisionismo o jurista reconhecia no estado de exceção a possibilidade de transcendência do político que se perdeu na Modernidade, o soberano representava o milagre divino que intervinha dominando o acaso</w:t>
      </w:r>
      <w:r w:rsidDel="00000000" w:rsidR="00000000" w:rsidRPr="00000000">
        <w:rPr>
          <w:rFonts w:ascii="Arial" w:cs="Arial" w:eastAsia="Arial" w:hAnsi="Arial"/>
          <w:vertAlign w:val="superscript"/>
        </w:rPr>
        <w:footnoteReference w:customMarkFollows="0" w:id="14"/>
      </w:r>
      <w:r w:rsidDel="00000000" w:rsidR="00000000" w:rsidRPr="00000000">
        <w:rPr>
          <w:rFonts w:ascii="Arial" w:cs="Arial" w:eastAsia="Arial" w:hAnsi="Arial"/>
          <w:rtl w:val="0"/>
        </w:rPr>
        <w:t xml:space="preserve">. Para ele, não estava em jogo o estado de exceção como um artifício para emergências e crises, mas para definição e atuação da soberania. O estado de exceção era ditadura e nessa sociedade de massas em que a despolitização do campo político fez o patrão dar lugar ao político como bode expiatório da luta de classes, a Modernidade viu o fascismo emergir dando continuidade à história dos vencedores na monstruosidade no estado de exceção nazista.</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Benjamin dividia com Schmitt a crítica a história progressista da Modernidade, mas em um campo contrário a transcendência do político não passava pelo fascismo, mas sobretudo pelo seu combate. Neste sentido a tese VIII também era uma resposta ao debate sobre a situação jurídica e política da Alemanha, iniciado na </w:t>
      </w:r>
      <w:r w:rsidDel="00000000" w:rsidR="00000000" w:rsidRPr="00000000">
        <w:rPr>
          <w:rFonts w:ascii="Arial" w:cs="Arial" w:eastAsia="Arial" w:hAnsi="Arial"/>
          <w:i w:val="1"/>
          <w:rtl w:val="0"/>
        </w:rPr>
        <w:t xml:space="preserve">Origem do Drama Barroco, </w:t>
      </w:r>
      <w:r w:rsidDel="00000000" w:rsidR="00000000" w:rsidRPr="00000000">
        <w:rPr>
          <w:rFonts w:ascii="Arial" w:cs="Arial" w:eastAsia="Arial" w:hAnsi="Arial"/>
          <w:rtl w:val="0"/>
        </w:rPr>
        <w:t xml:space="preserve">como nos mostra Giorgio Agamben</w:t>
      </w:r>
      <w:r w:rsidDel="00000000" w:rsidR="00000000" w:rsidRPr="00000000">
        <w:rPr>
          <w:rFonts w:ascii="Arial" w:cs="Arial" w:eastAsia="Arial" w:hAnsi="Arial"/>
          <w:vertAlign w:val="superscript"/>
        </w:rPr>
        <w:footnoteReference w:customMarkFollows="0" w:id="15"/>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Com o estado de exceção permanente, a exceção torna-se inseparável e indistinguível da regra, não há mais espaço para exceção porque ela também virou regra capturada pelo direito como uma anomalia jurídica que “por excelência pretende manter o direito em sua própria suspensão como força da lei” (AGAMBEN, 2004: 92). Ante essa coincidência entre exceção e regra, Schmitt não pode concordar de maneira nenhuma, ora, para ele “o funcionamento da ordem jurídica baseia-se, em última instância, em um dispositivo – o estado de exceção – que visa tornar norma aplicável suspendendo, provisoriamente, a sua eficácia. Quando a exceção se torna regra, a máquina não pode mais funcionar” (ibidem: 91). Não foi o que se viu no nazismo, em que não se proclamou outra Constituição e a suspensão dos direitos constitucionais permaneceu durante todo o regime; criou-se uma “zona de anomia em que age a violência sem nenhuma roupagem jurídica” (ibidem: 92), o estado de exceção funcionou </w:t>
      </w:r>
      <w:r w:rsidDel="00000000" w:rsidR="00000000" w:rsidRPr="00000000">
        <w:rPr>
          <w:rFonts w:ascii="Arial" w:cs="Arial" w:eastAsia="Arial" w:hAnsi="Arial"/>
          <w:i w:val="1"/>
          <w:rtl w:val="0"/>
        </w:rPr>
        <w:t xml:space="preserve">tout a court, </w:t>
      </w:r>
      <w:r w:rsidDel="00000000" w:rsidR="00000000" w:rsidRPr="00000000">
        <w:rPr>
          <w:rFonts w:ascii="Arial" w:cs="Arial" w:eastAsia="Arial" w:hAnsi="Arial"/>
          <w:rtl w:val="0"/>
        </w:rPr>
        <w:t xml:space="preserve">fazendo da própria suspensão do direito, a força da lei. Assim, nessa zona de anomia como um espaço vazio do direito, o regime hitlerista apresentava como novidade um Estado dual no qual “o ditador tem uma função constitucional. Ele age em nome da constituição”, mas suas “medidas não são limitas por lei, elas são extra-legais</w:t>
      </w:r>
      <w:r w:rsidDel="00000000" w:rsidR="00000000" w:rsidRPr="00000000">
        <w:rPr>
          <w:rFonts w:ascii="Arial" w:cs="Arial" w:eastAsia="Arial" w:hAnsi="Arial"/>
          <w:vertAlign w:val="superscript"/>
        </w:rPr>
        <w:footnoteReference w:customMarkFollows="0" w:id="16"/>
      </w:r>
      <w:r w:rsidDel="00000000" w:rsidR="00000000" w:rsidRPr="00000000">
        <w:rPr>
          <w:rFonts w:ascii="Arial" w:cs="Arial" w:eastAsia="Arial" w:hAnsi="Arial"/>
          <w:rtl w:val="0"/>
        </w:rPr>
        <w:t xml:space="preserve">” (KIRSCHMBAUM, 2002: 66) ao mesmo tempo o ditador poderia se comportar como uma forma da lei, no compromisso constitucional do soberano, em sentido completamente oposto aparece em função do poder coercitivo do Estado, como pura aplicação da violência, sem a vigência do direito, como força da lei, o estado de exceção se apresentaria como forma da lei, em que sua vigência não garante a aplicação de seu conteúdo, como também enquanto força da lei que faz da violência meio para seus fins.</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 Com isso, como resposta modernidade, o caminho de Schmitt não era a emergência de um conceito de história que pudesse dar conta de nossa época. Pelo contrário, na forma e na força da lei a exceção permaneceu na Modernidade fazendo de nós todos </w:t>
      </w:r>
      <w:r w:rsidDel="00000000" w:rsidR="00000000" w:rsidRPr="00000000">
        <w:rPr>
          <w:rFonts w:ascii="Arial" w:cs="Arial" w:eastAsia="Arial" w:hAnsi="Arial"/>
          <w:i w:val="1"/>
          <w:rtl w:val="0"/>
        </w:rPr>
        <w:t xml:space="preserve">Homo Sacers</w:t>
      </w:r>
      <w:r w:rsidDel="00000000" w:rsidR="00000000" w:rsidRPr="00000000">
        <w:rPr>
          <w:rFonts w:ascii="Arial" w:cs="Arial" w:eastAsia="Arial" w:hAnsi="Arial"/>
          <w:rtl w:val="0"/>
        </w:rPr>
        <w:t xml:space="preserve">. A continuidade das guerras, a intensiva econômica sobre direitos e a condição humana, a gestão dos corpos pela biopolítica dão sequencia a tradição dos oprimidos. Quando Benjamin expressa a exceção permanente, como regra, a violência que é forma e força da lei é o Estado em que tudo se passa como “uma lei que está em vigor e não se aplica ou se aplica sem estar em vigor” (AGAMBEN, 2004: 97). Talvez, para Benjamin como o Estado de Direito nasça de uma violência inaugural como estado de exceção, a sua continuidade também se manifeste pelo estado de exceção; o próprio Estado seja o estado de exceção</w:t>
      </w:r>
      <w:r w:rsidDel="00000000" w:rsidR="00000000" w:rsidRPr="00000000">
        <w:rPr>
          <w:rFonts w:ascii="Arial" w:cs="Arial" w:eastAsia="Arial" w:hAnsi="Arial"/>
          <w:vertAlign w:val="superscript"/>
        </w:rPr>
        <w:footnoteReference w:customMarkFollows="0" w:id="17"/>
      </w:r>
      <w:r w:rsidDel="00000000" w:rsidR="00000000" w:rsidRPr="00000000">
        <w:rPr>
          <w:rFonts w:ascii="Arial" w:cs="Arial" w:eastAsia="Arial" w:hAnsi="Arial"/>
          <w:rtl w:val="0"/>
        </w:rPr>
        <w:t xml:space="preserve">.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No Estado Moderno “tudo ocorre como se a Constituição tivesse sido concebida tendo em mente o estado de exceção, e a energia republicana não passasse de um estado de exceção represado” (MATOS, 2003: 51), utilizando a violência como meio de Direto, o Estado bloqueia qualquer possibilidade de interrupção do tempo histórico, como manutenção da ordem é apenas mais do mesmo; também por isso, para Benjamin, o dialogo e o conflito como expressão do político “só podem ser regulados sem violência a margem do Estado” (KIRSCHBAUM, 2002: 72). Neste âmbito uma nova perspectiva sobre o conceito de estado de exceção se abre, a ser explorada para além das representações do barroco, em suas relações com o direito e a violência no ensaio </w:t>
      </w:r>
      <w:r w:rsidDel="00000000" w:rsidR="00000000" w:rsidRPr="00000000">
        <w:rPr>
          <w:rFonts w:ascii="Arial" w:cs="Arial" w:eastAsia="Arial" w:hAnsi="Arial"/>
          <w:i w:val="1"/>
          <w:rtl w:val="0"/>
        </w:rPr>
        <w:t xml:space="preserve">Para uma crítica a violência</w:t>
      </w:r>
      <w:r w:rsidDel="00000000" w:rsidR="00000000" w:rsidRPr="00000000">
        <w:rPr>
          <w:rFonts w:ascii="Arial" w:cs="Arial" w:eastAsia="Arial" w:hAnsi="Arial"/>
          <w:i w:val="1"/>
          <w:vertAlign w:val="superscript"/>
        </w:rPr>
        <w:footnoteReference w:customMarkFollows="0" w:id="18"/>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Zur Kritik der Gewalt</w:t>
      </w:r>
      <w:r w:rsidDel="00000000" w:rsidR="00000000" w:rsidRPr="00000000">
        <w:rPr>
          <w:rFonts w:ascii="Arial" w:cs="Arial" w:eastAsia="Arial" w:hAnsi="Arial"/>
          <w:rtl w:val="0"/>
        </w:rPr>
        <w:t xml:space="preserve">), onde Benjamin apresenta duas formas de violência (</w:t>
      </w:r>
      <w:r w:rsidDel="00000000" w:rsidR="00000000" w:rsidRPr="00000000">
        <w:rPr>
          <w:rFonts w:ascii="Arial" w:cs="Arial" w:eastAsia="Arial" w:hAnsi="Arial"/>
          <w:i w:val="1"/>
          <w:rtl w:val="0"/>
        </w:rPr>
        <w:t xml:space="preserve">Gewalt</w:t>
      </w:r>
      <w:r w:rsidDel="00000000" w:rsidR="00000000" w:rsidRPr="00000000">
        <w:rPr>
          <w:rFonts w:ascii="Arial" w:cs="Arial" w:eastAsia="Arial" w:hAnsi="Arial"/>
          <w:rtl w:val="0"/>
        </w:rPr>
        <w:t xml:space="preserve">) pela discussão entre fins e meios do direito. Para ele:</w:t>
      </w:r>
    </w:p>
    <w:p w:rsidR="00000000" w:rsidDel="00000000" w:rsidP="00000000" w:rsidRDefault="00000000" w:rsidRPr="00000000">
      <w:pPr>
        <w:spacing w:after="0" w:before="0" w:line="360" w:lineRule="auto"/>
        <w:ind w:left="2268"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left="2268"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Toda violência como meio é ou instauradora ou mantenedora do direito. Se não pode reivindicar nenhum desses predicados, ela renuncia por si so a qualquer validade. Daí resulta que toda a violência como meio, mesmo no caso mais favorável, participa da problemática do direito geral (BENJAMIN, 2013c: 136)</w:t>
      </w:r>
    </w:p>
    <w:p w:rsidR="00000000" w:rsidDel="00000000" w:rsidP="00000000" w:rsidRDefault="00000000" w:rsidRPr="00000000">
      <w:pPr>
        <w:spacing w:after="0" w:before="0" w:line="360" w:lineRule="auto"/>
        <w:ind w:left="2268" w:firstLine="0"/>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 No âmbito do direito Benjamin encontra na contraposição entre um direito natural, que vê a “violência como um dado da natureza” (ibidem: 124) e um direito positivo, em que a violência é “produto do devir histórico” (ibidem: 124), um dogma comum, se de um lado “fins justos podem ser alcançados por meios justificados”, de outro, “meios justificados podem ser aplicados para fins justos” (ibidem: 124), a diferença se a crítica se dirige ao fim ou ao meio respectivamente, pressupõe de forma comum a violência como um meio imediato para justiça ou garantia de seus fins. Como meio a violência é articulada de duas formas, pelo direito natural como violência da guerra que “enquanto forma originária e arquetípica, é modelo para toda violência que persegue fins naturais, então é inerente a toda violência desse tipo um caráter de instauração do direito” (ibidem: 131), nela a violência prevalece como fim natural de maneira coercitiva para fundar o direito sob o nome de poder (</w:t>
      </w:r>
      <w:r w:rsidDel="00000000" w:rsidR="00000000" w:rsidRPr="00000000">
        <w:rPr>
          <w:rFonts w:ascii="Arial" w:cs="Arial" w:eastAsia="Arial" w:hAnsi="Arial"/>
          <w:i w:val="1"/>
          <w:rtl w:val="0"/>
        </w:rPr>
        <w:t xml:space="preserve">Macht</w:t>
      </w:r>
      <w:r w:rsidDel="00000000" w:rsidR="00000000" w:rsidRPr="00000000">
        <w:rPr>
          <w:rFonts w:ascii="Arial" w:cs="Arial" w:eastAsia="Arial" w:hAnsi="Arial"/>
          <w:rtl w:val="0"/>
        </w:rPr>
        <w:t xml:space="preserve">). O exercício desse direito natural conquistado pela força, não deixa de transparecer a relação dessa violência com o destino e com o mito, uma vez que em uma nova ordem jurídica proveniente da guerra, o direito de exercer o poder sobre o seu inimigo, a conquista, não é decidida pela razão, mas pelo destino. De outro lado, mais próximo o direito positivo, a violência aparece pelo militarismo e pela polícia como meios de fim de direito, que “consciente de suas raízes (...) enxerga tal interesse na apresentação e manutenção da ordem de um destino (...) que o direito protegerá então com seu poder” (ibidem: 133), após a instauração do direito, a violência não é abdicada, ela apareceria administrada como meio do próprio direito na conservação de sua ordem, como destino único o direito não enxerga nada que possa atuar fora à sua ordem, nem mesmo a ameaça, por isso, “a violência que mantém o direito é uma violência que ameaça” a tudo que queria se colocar para fora da ordem jurídica. Se “a instauração do direito é instauração do poder, e, enquanto tal uma manifestação imediata da violência, (...) o poder é o principio de instauração mítica do direito” (ibidem: 148). Assim, como um meio, a violência estaria encerrada como a instauração do direito e a manutenção do direito, colocando tanto em função de sua natureza como em seu devir histórico como manifestação de destino que se perpetua, haveria alguma outra modalidade da violência para além do direito?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Em Georges Sorel</w:t>
      </w:r>
      <w:r w:rsidDel="00000000" w:rsidR="00000000" w:rsidRPr="00000000">
        <w:rPr>
          <w:rFonts w:ascii="Arial" w:cs="Arial" w:eastAsia="Arial" w:hAnsi="Arial"/>
          <w:vertAlign w:val="superscript"/>
        </w:rPr>
        <w:footnoteReference w:customMarkFollows="0" w:id="19"/>
      </w:r>
      <w:r w:rsidDel="00000000" w:rsidR="00000000" w:rsidRPr="00000000">
        <w:rPr>
          <w:rFonts w:ascii="Arial" w:cs="Arial" w:eastAsia="Arial" w:hAnsi="Arial"/>
          <w:rtl w:val="0"/>
        </w:rPr>
        <w:t xml:space="preserve">, Benjamin intui um terceiro tipo de violência, a violência pura ou divina, que vem para purificar viventes, depondo o direito e rompendo com a dialética que se estabeleceu entre violência e direito se colocando para fora e além dele.</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left="2268"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Longe de inaugurar uma esfera mais pura, a manifestação mítica da violência imediata, mostra-se, em seu núcleo mais profundo, idêntica a toda violência do direito, e transforma a suspeita quanto ao caráter problemático dessa violência em certeza quanto ao caráter pernicioso de sua função histórica, tornando tarefa a sua abolição. (ibidem: 150) </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Essa violência pura aparecia também em dois momentos, enquanto violência mítica “em sua forma arquetípica é mera manifestação dos deuses” (ibidem: 147) não como um meio para atingir a sua vontade como um fim, mas sim como expressão da sua existência, ela vem como castigo que instaura o direito divino, como vemos no mito de Níobe</w:t>
      </w:r>
      <w:r w:rsidDel="00000000" w:rsidR="00000000" w:rsidRPr="00000000">
        <w:rPr>
          <w:rFonts w:ascii="Arial" w:cs="Arial" w:eastAsia="Arial" w:hAnsi="Arial"/>
          <w:vertAlign w:val="superscript"/>
        </w:rPr>
        <w:footnoteReference w:customMarkFollows="0" w:id="20"/>
      </w:r>
      <w:r w:rsidDel="00000000" w:rsidR="00000000" w:rsidRPr="00000000">
        <w:rPr>
          <w:rFonts w:ascii="Arial" w:cs="Arial" w:eastAsia="Arial" w:hAnsi="Arial"/>
          <w:rtl w:val="0"/>
        </w:rPr>
        <w:t xml:space="preserve">. Contudo, essa violência que é sangrenta, cobrada com sacrifícios, exercida contra a vida enquanto instauradora do direito como violência arbitrária (</w:t>
      </w:r>
      <w:r w:rsidDel="00000000" w:rsidR="00000000" w:rsidRPr="00000000">
        <w:rPr>
          <w:rFonts w:ascii="Arial" w:cs="Arial" w:eastAsia="Arial" w:hAnsi="Arial"/>
          <w:i w:val="1"/>
          <w:rtl w:val="0"/>
        </w:rPr>
        <w:t xml:space="preserve">schaltende Gewalt</w:t>
      </w:r>
      <w:r w:rsidDel="00000000" w:rsidR="00000000" w:rsidRPr="00000000">
        <w:rPr>
          <w:rFonts w:ascii="Arial" w:cs="Arial" w:eastAsia="Arial" w:hAnsi="Arial"/>
          <w:rtl w:val="0"/>
        </w:rPr>
        <w:t xml:space="preserve">) e enquanto mantenedora como violência adminsitrada (</w:t>
      </w:r>
      <w:r w:rsidDel="00000000" w:rsidR="00000000" w:rsidRPr="00000000">
        <w:rPr>
          <w:rFonts w:ascii="Arial" w:cs="Arial" w:eastAsia="Arial" w:hAnsi="Arial"/>
          <w:i w:val="1"/>
          <w:rtl w:val="0"/>
        </w:rPr>
        <w:t xml:space="preserve">verwaltete Gewalt</w:t>
      </w:r>
      <w:r w:rsidDel="00000000" w:rsidR="00000000" w:rsidRPr="00000000">
        <w:rPr>
          <w:rFonts w:ascii="Arial" w:cs="Arial" w:eastAsia="Arial" w:hAnsi="Arial"/>
          <w:rtl w:val="0"/>
        </w:rPr>
        <w:t xml:space="preserve">), é redimida em um segundo momento por uma violência divina que reina (</w:t>
      </w:r>
      <w:r w:rsidDel="00000000" w:rsidR="00000000" w:rsidRPr="00000000">
        <w:rPr>
          <w:rFonts w:ascii="Arial" w:cs="Arial" w:eastAsia="Arial" w:hAnsi="Arial"/>
          <w:i w:val="1"/>
          <w:rtl w:val="0"/>
        </w:rPr>
        <w:t xml:space="preserve">waltende Gewalt</w:t>
      </w:r>
      <w:r w:rsidDel="00000000" w:rsidR="00000000" w:rsidRPr="00000000">
        <w:rPr>
          <w:rFonts w:ascii="Arial" w:cs="Arial" w:eastAsia="Arial" w:hAnsi="Arial"/>
          <w:rtl w:val="0"/>
        </w:rPr>
        <w:t xml:space="preserve">), não sangrenta, a favor do vivente. “Se a violência mítica é instauradora do direito, a violência divina é aniquiladora do direito, se a primeira estabelece fronteiras, a segunda aniquila sem limites, se a mítica traz culpa e expiação, a violência divina expia a culpa” (ibidem: 150), ela de fato é a purificação da violência, da ameaça, o medo de punição e da culpa que o direito impõe aos viventes. Para Benjamin essa violência divina não seria atestada por um caráter religioso, manifesta por um milagre, mas pelo momento não sangrento de expiar a culpa; o que lhe há de sagrado não é o direito que em seu poder supremo coroado pelo destino pode decidir pela vida e pela morte, mas sim o que ela condena, a mera vida.</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A difícil apreensão dessa violência pura que se põe simbólica possibilita diversas interpretações que além do direito, devem também perpassar uma leitura apenas no registro místico-religioso da violência. O </w:t>
      </w:r>
      <w:r w:rsidDel="00000000" w:rsidR="00000000" w:rsidRPr="00000000">
        <w:rPr>
          <w:rFonts w:ascii="Arial" w:cs="Arial" w:eastAsia="Arial" w:hAnsi="Arial"/>
          <w:i w:val="1"/>
          <w:rtl w:val="0"/>
        </w:rPr>
        <w:t xml:space="preserve">Fragmento Teológico Político</w:t>
      </w:r>
      <w:r w:rsidDel="00000000" w:rsidR="00000000" w:rsidRPr="00000000">
        <w:rPr>
          <w:rFonts w:ascii="Arial" w:cs="Arial" w:eastAsia="Arial" w:hAnsi="Arial"/>
          <w:i w:val="1"/>
          <w:vertAlign w:val="superscript"/>
        </w:rPr>
        <w:footnoteReference w:customMarkFollows="0" w:id="21"/>
      </w:r>
      <w:r w:rsidDel="00000000" w:rsidR="00000000" w:rsidRPr="00000000">
        <w:rPr>
          <w:rFonts w:ascii="Arial" w:cs="Arial" w:eastAsia="Arial" w:hAnsi="Arial"/>
          <w:rtl w:val="0"/>
        </w:rPr>
        <w:t xml:space="preserve"> nos é elucidador nesse sentido, ao apontar que “</w:t>
      </w:r>
      <w:r w:rsidDel="00000000" w:rsidR="00000000" w:rsidRPr="00000000">
        <w:rPr>
          <w:rFonts w:ascii="Arial" w:cs="Arial" w:eastAsia="Arial" w:hAnsi="Arial"/>
          <w:color w:val="000000"/>
          <w:highlight w:val="white"/>
          <w:rtl w:val="0"/>
        </w:rPr>
        <w:t xml:space="preserve">o Reino de Deus não é o </w:t>
      </w:r>
      <w:r w:rsidDel="00000000" w:rsidR="00000000" w:rsidRPr="00000000">
        <w:rPr>
          <w:rFonts w:ascii="Arial" w:cs="Arial" w:eastAsia="Arial" w:hAnsi="Arial"/>
          <w:i w:val="1"/>
          <w:color w:val="000000"/>
          <w:highlight w:val="white"/>
          <w:rtl w:val="0"/>
        </w:rPr>
        <w:t xml:space="preserve">telos</w:t>
      </w:r>
      <w:r w:rsidDel="00000000" w:rsidR="00000000" w:rsidRPr="00000000">
        <w:rPr>
          <w:rFonts w:ascii="Arial" w:cs="Arial" w:eastAsia="Arial" w:hAnsi="Arial"/>
          <w:color w:val="000000"/>
          <w:highlight w:val="white"/>
          <w:rtl w:val="0"/>
        </w:rPr>
        <w:t xml:space="preserve"> da dinâmica histórica; ele não pode ser posto como meta (</w:t>
      </w:r>
      <w:r w:rsidDel="00000000" w:rsidR="00000000" w:rsidRPr="00000000">
        <w:rPr>
          <w:rFonts w:ascii="Arial" w:cs="Arial" w:eastAsia="Arial" w:hAnsi="Arial"/>
          <w:i w:val="1"/>
          <w:color w:val="000000"/>
          <w:highlight w:val="white"/>
          <w:rtl w:val="0"/>
        </w:rPr>
        <w:t xml:space="preserve">Ziel</w:t>
      </w:r>
      <w:r w:rsidDel="00000000" w:rsidR="00000000" w:rsidRPr="00000000">
        <w:rPr>
          <w:rFonts w:ascii="Arial" w:cs="Arial" w:eastAsia="Arial" w:hAnsi="Arial"/>
          <w:color w:val="000000"/>
          <w:highlight w:val="white"/>
          <w:rtl w:val="0"/>
        </w:rPr>
        <w:t xml:space="preserve">). Visto historicamente, ele não é meta, mas fim (</w:t>
      </w:r>
      <w:r w:rsidDel="00000000" w:rsidR="00000000" w:rsidRPr="00000000">
        <w:rPr>
          <w:rFonts w:ascii="Arial" w:cs="Arial" w:eastAsia="Arial" w:hAnsi="Arial"/>
          <w:i w:val="1"/>
          <w:color w:val="000000"/>
          <w:highlight w:val="white"/>
          <w:rtl w:val="0"/>
        </w:rPr>
        <w:t xml:space="preserve">Ende</w:t>
      </w:r>
      <w:r w:rsidDel="00000000" w:rsidR="00000000" w:rsidRPr="00000000">
        <w:rPr>
          <w:rFonts w:ascii="Arial" w:cs="Arial" w:eastAsia="Arial" w:hAnsi="Arial"/>
          <w:color w:val="000000"/>
          <w:highlight w:val="white"/>
          <w:rtl w:val="0"/>
        </w:rPr>
        <w:t xml:space="preserve">)”, divina, a violência não se manifesta como meio, mas como fim</w:t>
      </w:r>
      <w:r w:rsidDel="00000000" w:rsidR="00000000" w:rsidRPr="00000000">
        <w:rPr>
          <w:rFonts w:ascii="Arial" w:cs="Arial" w:eastAsia="Arial" w:hAnsi="Arial"/>
          <w:rtl w:val="0"/>
        </w:rPr>
        <w:t xml:space="preserve"> da dinâmica histórica. Neste sentido, sua compreensão nos é importante não somente porque rompe com a dialética entre violência que funda e mantém o direito, possibilitando superar o âmbito da história natural, nem porque se efetiva, como uma violência para fora e além do direito, como um estado de exceção chamado por Benjamin de verdadeiro, que dê conta de nossa condição histórica</w:t>
      </w:r>
      <w:r w:rsidDel="00000000" w:rsidR="00000000" w:rsidRPr="00000000">
        <w:rPr>
          <w:rFonts w:ascii="Arial" w:cs="Arial" w:eastAsia="Arial" w:hAnsi="Arial"/>
          <w:vertAlign w:val="superscript"/>
        </w:rPr>
        <w:footnoteReference w:customMarkFollows="0" w:id="22"/>
      </w:r>
      <w:r w:rsidDel="00000000" w:rsidR="00000000" w:rsidRPr="00000000">
        <w:rPr>
          <w:rFonts w:ascii="Arial" w:cs="Arial" w:eastAsia="Arial" w:hAnsi="Arial"/>
          <w:rtl w:val="0"/>
        </w:rPr>
        <w:t xml:space="preserve">, mas também porque permite retomar o drama barroco na perspectiva da teoria da alegoria. No Barroco condenado a imanência, “a história destino é o tempo circular da natureza, e a história naturalizada é o tempo pontual da estabilidade profana. Ambos excluem a perspectiva messiânica” (ROUANET, 1984: 44), segundo a qual o Messias aparece perfazendo “todo o advir histórico” para salvá-lo. Com a alegoria</w:t>
      </w:r>
      <w:r w:rsidDel="00000000" w:rsidR="00000000" w:rsidRPr="00000000">
        <w:rPr>
          <w:rFonts w:ascii="Arial" w:cs="Arial" w:eastAsia="Arial" w:hAnsi="Arial"/>
          <w:vertAlign w:val="superscript"/>
        </w:rPr>
        <w:footnoteReference w:customMarkFollows="0" w:id="23"/>
      </w:r>
      <w:r w:rsidDel="00000000" w:rsidR="00000000" w:rsidRPr="00000000">
        <w:rPr>
          <w:rFonts w:ascii="Arial" w:cs="Arial" w:eastAsia="Arial" w:hAnsi="Arial"/>
          <w:rtl w:val="0"/>
        </w:rPr>
        <w:t xml:space="preserve"> Benjamin busca mostrar como o Barroco tentou ir para além de si mesmo, buscando uma nova significação das coisas em uma violência alegórica que despe as coisas de seu contexto para na representação de suas figuras, de caveiras, de mortes, de saber culpado, de mal absoluto, manifestar “na subjetividade artística do barroco” uma convergência “com a essência teológica” (BENJAMIN, 2013a: 251), uma subjetividade vazia que “apropria-se do real e vê-o como mero reflexo de si mesmo em Deus” se tornando “garantia formal do milagre, porque anuncia a própria ação divina” (ibidem: 252, 253), ao se projetar enquanto Deus, esta subjetividade barroca frustra sua salvação na medida em que essa falsa transcendência não a liberta da imanência absoluta da natureza de seu tempo, é apenas uma ilusão alegórica que na falta de equivalente histórico fracassa como fantasmagoria de um desejo represado de transcendência (ROUANET, 1984: 41). Como no </w:t>
      </w:r>
      <w:r w:rsidDel="00000000" w:rsidR="00000000" w:rsidRPr="00000000">
        <w:rPr>
          <w:rFonts w:ascii="Arial" w:cs="Arial" w:eastAsia="Arial" w:hAnsi="Arial"/>
          <w:i w:val="1"/>
          <w:rtl w:val="0"/>
        </w:rPr>
        <w:t xml:space="preserve">Trauerspiel</w:t>
      </w:r>
      <w:r w:rsidDel="00000000" w:rsidR="00000000" w:rsidRPr="00000000">
        <w:rPr>
          <w:rFonts w:ascii="Arial" w:cs="Arial" w:eastAsia="Arial" w:hAnsi="Arial"/>
          <w:rtl w:val="0"/>
        </w:rPr>
        <w:t xml:space="preserve">, a tragédia do homem moderno é a incapacidade de agir e decidir, é manter-se omisso a história sem não conseguir mudar a ordem das coisas, é permanecer passivo aos excessos do político, do econômico, do direito. Assim, na Modernidade, “o estado de exceção é inconsciente de si, pois mobiliza conceitos cujas raízes e fundamentos permanecem escondidos em razão de uma amnésia social: pertencem ao campo teológico secularizado” (MATOS, 2003: 49), longe de despolitizar o teológico, ao contrário, a sociedade moderna e seus oximoros, mostram-se cada vez mais como uma teologização do político. Só uma intervenção divina messiânica poderia nos salvar, um estado de exceção verdadeiro que inaugure um novo tempo, mas o que aconteceria com a humanidade em sua condição messiânica?</w:t>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ind w:firstLine="709"/>
        <w:contextualSpacing w:val="0"/>
        <w:jc w:val="center"/>
        <w:rPr>
          <w:rFonts w:ascii="Arial" w:cs="Arial" w:eastAsia="Arial" w:hAnsi="Arial"/>
          <w:b w:val="1"/>
        </w:rPr>
      </w:pPr>
      <w:r w:rsidDel="00000000" w:rsidR="00000000" w:rsidRPr="00000000">
        <w:rPr>
          <w:rFonts w:ascii="Arial" w:cs="Arial" w:eastAsia="Arial" w:hAnsi="Arial"/>
          <w:b w:val="1"/>
          <w:rtl w:val="0"/>
        </w:rPr>
        <w:t xml:space="preserve">Referências Bibliográficas: </w:t>
      </w:r>
    </w:p>
    <w:p w:rsidR="00000000" w:rsidDel="00000000" w:rsidP="00000000" w:rsidRDefault="00000000" w:rsidRPr="00000000">
      <w:pPr>
        <w:spacing w:after="0" w:before="0" w:line="360" w:lineRule="auto"/>
        <w:ind w:firstLine="709"/>
        <w:contextualSpacing w:val="0"/>
        <w:jc w:val="both"/>
        <w:rPr>
          <w:rFonts w:ascii="Arial" w:cs="Arial" w:eastAsia="Arial" w:hAnsi="Arial"/>
          <w:sz w:val="23"/>
          <w:szCs w:val="23"/>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pPr>
        <w:spacing w:after="0" w:before="0" w:line="360" w:lineRule="auto"/>
        <w:ind w:firstLine="709"/>
        <w:contextualSpacing w:val="0"/>
        <w:jc w:val="both"/>
        <w:rPr>
          <w:rFonts w:ascii="Arial" w:cs="Arial" w:eastAsia="Arial" w:hAnsi="Arial"/>
          <w:sz w:val="23"/>
          <w:szCs w:val="23"/>
        </w:rPr>
      </w:pPr>
      <w:r w:rsidDel="00000000" w:rsidR="00000000" w:rsidRPr="00000000">
        <w:rPr>
          <w:rtl w:val="0"/>
        </w:rPr>
      </w:r>
    </w:p>
    <w:p w:rsidR="00000000" w:rsidDel="00000000" w:rsidP="00000000" w:rsidRDefault="00000000" w:rsidRPr="00000000">
      <w:pPr>
        <w:spacing w:after="0" w:before="0" w:lineRule="auto"/>
        <w:contextualSpacing w:val="0"/>
        <w:rPr>
          <w:rFonts w:ascii="Arial" w:cs="Arial" w:eastAsia="Arial" w:hAnsi="Arial"/>
        </w:rPr>
      </w:pPr>
      <w:r w:rsidDel="00000000" w:rsidR="00000000" w:rsidRPr="00000000">
        <w:rPr>
          <w:rFonts w:ascii="Arial" w:cs="Arial" w:eastAsia="Arial" w:hAnsi="Arial"/>
          <w:rtl w:val="0"/>
        </w:rPr>
        <w:t xml:space="preserve">AGAMBEN, G. </w:t>
      </w:r>
      <w:r w:rsidDel="00000000" w:rsidR="00000000" w:rsidRPr="00000000">
        <w:rPr>
          <w:rFonts w:ascii="Arial" w:cs="Arial" w:eastAsia="Arial" w:hAnsi="Arial"/>
          <w:i w:val="1"/>
          <w:rtl w:val="0"/>
        </w:rPr>
        <w:t xml:space="preserve">Estado de exceção</w:t>
      </w:r>
      <w:r w:rsidDel="00000000" w:rsidR="00000000" w:rsidRPr="00000000">
        <w:rPr>
          <w:rFonts w:ascii="Arial" w:cs="Arial" w:eastAsia="Arial" w:hAnsi="Arial"/>
          <w:rtl w:val="0"/>
        </w:rPr>
        <w:t xml:space="preserve">. São Paulo: Boitempo, 2004</w:t>
      </w:r>
    </w:p>
    <w:p w:rsidR="00000000" w:rsidDel="00000000" w:rsidP="00000000" w:rsidRDefault="00000000" w:rsidRPr="00000000">
      <w:pPr>
        <w:spacing w:after="0" w:before="0" w:lineRule="auto"/>
        <w:contextualSpacing w:val="0"/>
        <w:rPr>
          <w:rFonts w:ascii="Arial" w:cs="Arial" w:eastAsia="Arial" w:hAnsi="Arial"/>
        </w:rPr>
      </w:pPr>
      <w:r w:rsidDel="00000000" w:rsidR="00000000" w:rsidRPr="00000000">
        <w:rPr>
          <w:rFonts w:ascii="Arial" w:cs="Arial" w:eastAsia="Arial" w:hAnsi="Arial"/>
          <w:rtl w:val="0"/>
        </w:rPr>
        <w:t xml:space="preserve">_________. </w:t>
      </w:r>
      <w:r w:rsidDel="00000000" w:rsidR="00000000" w:rsidRPr="00000000">
        <w:rPr>
          <w:rFonts w:ascii="Arial" w:cs="Arial" w:eastAsia="Arial" w:hAnsi="Arial"/>
          <w:i w:val="1"/>
          <w:rtl w:val="0"/>
        </w:rPr>
        <w:t xml:space="preserve">Homo Sacer: o poder soberano e a vida nua</w:t>
      </w:r>
      <w:r w:rsidDel="00000000" w:rsidR="00000000" w:rsidRPr="00000000">
        <w:rPr>
          <w:rFonts w:ascii="Arial" w:cs="Arial" w:eastAsia="Arial" w:hAnsi="Arial"/>
          <w:rtl w:val="0"/>
        </w:rPr>
        <w:t xml:space="preserve">. Belo Horizonte: UFMG, 2002</w:t>
      </w:r>
    </w:p>
    <w:p w:rsidR="00000000" w:rsidDel="00000000" w:rsidP="00000000" w:rsidRDefault="00000000" w:rsidRPr="00000000">
      <w:pPr>
        <w:spacing w:after="0" w:before="0" w:lineRule="auto"/>
        <w:contextualSpacing w:val="0"/>
        <w:rPr>
          <w:rFonts w:ascii="Arial" w:cs="Arial" w:eastAsia="Arial" w:hAnsi="Arial"/>
        </w:rPr>
      </w:pPr>
      <w:r w:rsidDel="00000000" w:rsidR="00000000" w:rsidRPr="00000000">
        <w:rPr>
          <w:rFonts w:ascii="Arial" w:cs="Arial" w:eastAsia="Arial" w:hAnsi="Arial"/>
          <w:rtl w:val="0"/>
        </w:rPr>
        <w:t xml:space="preserve">_________. </w:t>
      </w:r>
      <w:r w:rsidDel="00000000" w:rsidR="00000000" w:rsidRPr="00000000">
        <w:rPr>
          <w:rFonts w:ascii="Arial" w:cs="Arial" w:eastAsia="Arial" w:hAnsi="Arial"/>
          <w:i w:val="1"/>
          <w:rtl w:val="0"/>
        </w:rPr>
        <w:t xml:space="preserve">O que resta de Auschwitz?</w:t>
      </w:r>
      <w:r w:rsidDel="00000000" w:rsidR="00000000" w:rsidRPr="00000000">
        <w:rPr>
          <w:rFonts w:ascii="Arial" w:cs="Arial" w:eastAsia="Arial" w:hAnsi="Arial"/>
          <w:rtl w:val="0"/>
        </w:rPr>
        <w:t xml:space="preserve"> São Paulo: Boitempo, 2010</w:t>
      </w:r>
    </w:p>
    <w:p w:rsidR="00000000" w:rsidDel="00000000" w:rsidP="00000000" w:rsidRDefault="00000000" w:rsidRPr="00000000">
      <w:pPr>
        <w:spacing w:after="0" w:before="0" w:lineRule="auto"/>
        <w:contextualSpacing w:val="0"/>
        <w:rPr>
          <w:rFonts w:ascii="Arial" w:cs="Arial" w:eastAsia="Arial" w:hAnsi="Arial"/>
        </w:rPr>
      </w:pPr>
      <w:r w:rsidDel="00000000" w:rsidR="00000000" w:rsidRPr="00000000">
        <w:rPr>
          <w:rFonts w:ascii="Arial" w:cs="Arial" w:eastAsia="Arial" w:hAnsi="Arial"/>
          <w:rtl w:val="0"/>
        </w:rPr>
        <w:t xml:space="preserve">BENJAMIN, W.  </w:t>
      </w:r>
      <w:r w:rsidDel="00000000" w:rsidR="00000000" w:rsidRPr="00000000">
        <w:rPr>
          <w:rFonts w:ascii="Arial" w:cs="Arial" w:eastAsia="Arial" w:hAnsi="Arial"/>
          <w:i w:val="1"/>
          <w:rtl w:val="0"/>
        </w:rPr>
        <w:t xml:space="preserve">A origem do drama barroco alemão</w:t>
      </w:r>
      <w:r w:rsidDel="00000000" w:rsidR="00000000" w:rsidRPr="00000000">
        <w:rPr>
          <w:rFonts w:ascii="Arial" w:cs="Arial" w:eastAsia="Arial" w:hAnsi="Arial"/>
          <w:rtl w:val="0"/>
        </w:rPr>
        <w:t xml:space="preserve">. São Paulo: Brasiliense, 1984</w:t>
      </w:r>
    </w:p>
    <w:p w:rsidR="00000000" w:rsidDel="00000000" w:rsidP="00000000" w:rsidRDefault="00000000" w:rsidRPr="00000000">
      <w:pPr>
        <w:spacing w:after="0" w:before="0" w:lineRule="auto"/>
        <w:contextualSpacing w:val="0"/>
        <w:rPr>
          <w:rFonts w:ascii="Arial" w:cs="Arial" w:eastAsia="Arial" w:hAnsi="Arial"/>
        </w:rPr>
      </w:pPr>
      <w:r w:rsidDel="00000000" w:rsidR="00000000" w:rsidRPr="00000000">
        <w:rPr>
          <w:rFonts w:ascii="Arial" w:cs="Arial" w:eastAsia="Arial" w:hAnsi="Arial"/>
          <w:i w:val="1"/>
          <w:rtl w:val="0"/>
        </w:rPr>
        <w:t xml:space="preserve">_________. A origem do drama trágico alemão</w:t>
      </w:r>
      <w:r w:rsidDel="00000000" w:rsidR="00000000" w:rsidRPr="00000000">
        <w:rPr>
          <w:rFonts w:ascii="Arial" w:cs="Arial" w:eastAsia="Arial" w:hAnsi="Arial"/>
          <w:rtl w:val="0"/>
        </w:rPr>
        <w:t xml:space="preserve">. Belo Horizonte: Autêntica, 2013ª</w:t>
      </w:r>
    </w:p>
    <w:p w:rsidR="00000000" w:rsidDel="00000000" w:rsidP="00000000" w:rsidRDefault="00000000" w:rsidRPr="00000000">
      <w:pPr>
        <w:spacing w:after="0" w:before="0" w:lineRule="auto"/>
        <w:contextualSpacing w:val="0"/>
        <w:rPr>
          <w:rFonts w:ascii="Arial" w:cs="Arial" w:eastAsia="Arial" w:hAnsi="Arial"/>
        </w:rPr>
      </w:pPr>
      <w:r w:rsidDel="00000000" w:rsidR="00000000" w:rsidRPr="00000000">
        <w:rPr>
          <w:rFonts w:ascii="Arial" w:cs="Arial" w:eastAsia="Arial" w:hAnsi="Arial"/>
          <w:rtl w:val="0"/>
        </w:rPr>
        <w:t xml:space="preserve">_________. </w:t>
      </w:r>
      <w:r w:rsidDel="00000000" w:rsidR="00000000" w:rsidRPr="00000000">
        <w:rPr>
          <w:rFonts w:ascii="Arial" w:cs="Arial" w:eastAsia="Arial" w:hAnsi="Arial"/>
          <w:i w:val="1"/>
          <w:rtl w:val="0"/>
        </w:rPr>
        <w:t xml:space="preserve">Documentos de cultura, documentos de barbárie</w:t>
      </w:r>
      <w:r w:rsidDel="00000000" w:rsidR="00000000" w:rsidRPr="00000000">
        <w:rPr>
          <w:rFonts w:ascii="Arial" w:cs="Arial" w:eastAsia="Arial" w:hAnsi="Arial"/>
          <w:rtl w:val="0"/>
        </w:rPr>
        <w:t xml:space="preserve">. São Paulo: Cultrix, Edusp, 1986.</w:t>
      </w:r>
    </w:p>
    <w:p w:rsidR="00000000" w:rsidDel="00000000" w:rsidP="00000000" w:rsidRDefault="00000000" w:rsidRPr="00000000">
      <w:pPr>
        <w:spacing w:after="0" w:before="0" w:lineRule="auto"/>
        <w:contextualSpacing w:val="0"/>
        <w:rPr>
          <w:rFonts w:ascii="Arial" w:cs="Arial" w:eastAsia="Arial" w:hAnsi="Arial"/>
        </w:rPr>
      </w:pPr>
      <w:r w:rsidDel="00000000" w:rsidR="00000000" w:rsidRPr="00000000">
        <w:rPr>
          <w:rFonts w:ascii="Arial" w:cs="Arial" w:eastAsia="Arial" w:hAnsi="Arial"/>
          <w:rtl w:val="0"/>
        </w:rPr>
        <w:t xml:space="preserve">_________. </w:t>
      </w:r>
      <w:r w:rsidDel="00000000" w:rsidR="00000000" w:rsidRPr="00000000">
        <w:rPr>
          <w:rFonts w:ascii="Arial" w:cs="Arial" w:eastAsia="Arial" w:hAnsi="Arial"/>
          <w:i w:val="1"/>
          <w:rtl w:val="0"/>
        </w:rPr>
        <w:t xml:space="preserve">Fragmento Teológico Político</w:t>
      </w:r>
      <w:r w:rsidDel="00000000" w:rsidR="00000000" w:rsidRPr="00000000">
        <w:rPr>
          <w:rFonts w:ascii="Arial" w:cs="Arial" w:eastAsia="Arial" w:hAnsi="Arial"/>
          <w:rtl w:val="0"/>
        </w:rPr>
        <w:t xml:space="preserve">. In. Anjo da Historia, Belo Horizonte, Autentica, 2012</w:t>
      </w:r>
    </w:p>
    <w:p w:rsidR="00000000" w:rsidDel="00000000" w:rsidP="00000000" w:rsidRDefault="00000000" w:rsidRPr="00000000">
      <w:pPr>
        <w:spacing w:after="0" w:before="0" w:lineRule="auto"/>
        <w:contextualSpacing w:val="0"/>
        <w:rPr>
          <w:rFonts w:ascii="Arial" w:cs="Arial" w:eastAsia="Arial" w:hAnsi="Arial"/>
        </w:rPr>
      </w:pPr>
      <w:r w:rsidDel="00000000" w:rsidR="00000000" w:rsidRPr="00000000">
        <w:rPr>
          <w:rFonts w:ascii="Arial" w:cs="Arial" w:eastAsia="Arial" w:hAnsi="Arial"/>
          <w:rtl w:val="0"/>
        </w:rPr>
        <w:t xml:space="preserve">_________. </w:t>
      </w:r>
      <w:r w:rsidDel="00000000" w:rsidR="00000000" w:rsidRPr="00000000">
        <w:rPr>
          <w:rFonts w:ascii="Arial" w:cs="Arial" w:eastAsia="Arial" w:hAnsi="Arial"/>
          <w:i w:val="1"/>
          <w:rtl w:val="0"/>
        </w:rPr>
        <w:t xml:space="preserve">Escritos sobre mito e linguagem.</w:t>
      </w:r>
      <w:r w:rsidDel="00000000" w:rsidR="00000000" w:rsidRPr="00000000">
        <w:rPr>
          <w:rFonts w:ascii="Arial" w:cs="Arial" w:eastAsia="Arial" w:hAnsi="Arial"/>
          <w:rtl w:val="0"/>
        </w:rPr>
        <w:t xml:space="preserve"> São Paulo: Editora 34, 2013c</w:t>
      </w:r>
    </w:p>
    <w:p w:rsidR="00000000" w:rsidDel="00000000" w:rsidP="00000000" w:rsidRDefault="00000000" w:rsidRPr="00000000">
      <w:pPr>
        <w:spacing w:after="0" w:before="0" w:lineRule="auto"/>
        <w:contextualSpacing w:val="0"/>
        <w:rPr>
          <w:rFonts w:ascii="Arial" w:cs="Arial" w:eastAsia="Arial" w:hAnsi="Arial"/>
        </w:rPr>
      </w:pPr>
      <w:r w:rsidDel="00000000" w:rsidR="00000000" w:rsidRPr="00000000">
        <w:rPr>
          <w:rFonts w:ascii="Arial" w:cs="Arial" w:eastAsia="Arial" w:hAnsi="Arial"/>
          <w:rtl w:val="0"/>
        </w:rPr>
        <w:t xml:space="preserve">BERCOVINI, G. </w:t>
      </w:r>
      <w:r w:rsidDel="00000000" w:rsidR="00000000" w:rsidRPr="00000000">
        <w:rPr>
          <w:rFonts w:ascii="Arial" w:cs="Arial" w:eastAsia="Arial" w:hAnsi="Arial"/>
          <w:i w:val="1"/>
          <w:rtl w:val="0"/>
        </w:rPr>
        <w:t xml:space="preserve">Constituição e estado de exceção permanente: a atualidade de Weimar</w:t>
      </w:r>
      <w:r w:rsidDel="00000000" w:rsidR="00000000" w:rsidRPr="00000000">
        <w:rPr>
          <w:rFonts w:ascii="Arial" w:cs="Arial" w:eastAsia="Arial" w:hAnsi="Arial"/>
          <w:rtl w:val="0"/>
        </w:rPr>
        <w:t xml:space="preserve">. São Paulo: Azougue editorial, 2004</w:t>
      </w:r>
    </w:p>
    <w:p w:rsidR="00000000" w:rsidDel="00000000" w:rsidP="00000000" w:rsidRDefault="00000000" w:rsidRPr="00000000">
      <w:pPr>
        <w:spacing w:after="0" w:before="0" w:lineRule="auto"/>
        <w:contextualSpacing w:val="0"/>
        <w:rPr>
          <w:rFonts w:ascii="Arial" w:cs="Arial" w:eastAsia="Arial" w:hAnsi="Arial"/>
        </w:rPr>
      </w:pPr>
      <w:r w:rsidDel="00000000" w:rsidR="00000000" w:rsidRPr="00000000">
        <w:rPr>
          <w:rFonts w:ascii="Arial" w:cs="Arial" w:eastAsia="Arial" w:hAnsi="Arial"/>
          <w:rtl w:val="0"/>
        </w:rPr>
        <w:t xml:space="preserve">_________. </w:t>
      </w:r>
      <w:r w:rsidDel="00000000" w:rsidR="00000000" w:rsidRPr="00000000">
        <w:rPr>
          <w:rFonts w:ascii="Arial" w:cs="Arial" w:eastAsia="Arial" w:hAnsi="Arial"/>
          <w:i w:val="1"/>
          <w:rtl w:val="0"/>
        </w:rPr>
        <w:t xml:space="preserve">Constituição e Política: uma relação difícil</w:t>
      </w:r>
      <w:r w:rsidDel="00000000" w:rsidR="00000000" w:rsidRPr="00000000">
        <w:rPr>
          <w:rFonts w:ascii="Arial" w:cs="Arial" w:eastAsia="Arial" w:hAnsi="Arial"/>
          <w:rtl w:val="0"/>
        </w:rPr>
        <w:t xml:space="preserve">. In Lua Nova, nº61, São Paulo, 2004. </w:t>
      </w:r>
    </w:p>
    <w:p w:rsidR="00000000" w:rsidDel="00000000" w:rsidP="00000000" w:rsidRDefault="00000000" w:rsidRPr="00000000">
      <w:pPr>
        <w:spacing w:after="0" w:before="0" w:lineRule="auto"/>
        <w:contextualSpacing w:val="0"/>
        <w:rPr>
          <w:rFonts w:ascii="Arial" w:cs="Arial" w:eastAsia="Arial" w:hAnsi="Arial"/>
        </w:rPr>
      </w:pPr>
      <w:r w:rsidDel="00000000" w:rsidR="00000000" w:rsidRPr="00000000">
        <w:rPr>
          <w:rFonts w:ascii="Arial" w:cs="Arial" w:eastAsia="Arial" w:hAnsi="Arial"/>
          <w:rtl w:val="0"/>
        </w:rPr>
        <w:t xml:space="preserve">DYMETMAN, A. </w:t>
      </w:r>
      <w:r w:rsidDel="00000000" w:rsidR="00000000" w:rsidRPr="00000000">
        <w:rPr>
          <w:rFonts w:ascii="Arial" w:cs="Arial" w:eastAsia="Arial" w:hAnsi="Arial"/>
          <w:i w:val="1"/>
          <w:rtl w:val="0"/>
        </w:rPr>
        <w:t xml:space="preserve">Uma arquitetura da indiferença.</w:t>
      </w:r>
      <w:r w:rsidDel="00000000" w:rsidR="00000000" w:rsidRPr="00000000">
        <w:rPr>
          <w:rFonts w:ascii="Arial" w:cs="Arial" w:eastAsia="Arial" w:hAnsi="Arial"/>
          <w:rtl w:val="0"/>
        </w:rPr>
        <w:t xml:space="preserve"> São Paulo: Perspectiva, 2002</w:t>
      </w:r>
    </w:p>
    <w:p w:rsidR="00000000" w:rsidDel="00000000" w:rsidP="00000000" w:rsidRDefault="00000000" w:rsidRPr="00000000">
      <w:pPr>
        <w:spacing w:after="0" w:before="0" w:lineRule="auto"/>
        <w:contextualSpacing w:val="0"/>
        <w:rPr>
          <w:rFonts w:ascii="Arial" w:cs="Arial" w:eastAsia="Arial" w:hAnsi="Arial"/>
        </w:rPr>
      </w:pPr>
      <w:r w:rsidDel="00000000" w:rsidR="00000000" w:rsidRPr="00000000">
        <w:rPr>
          <w:rFonts w:ascii="Arial" w:cs="Arial" w:eastAsia="Arial" w:hAnsi="Arial"/>
          <w:rtl w:val="0"/>
        </w:rPr>
        <w:t xml:space="preserve">ELIAS, N. Os alemães. Rio de Janeiro: Zahar, 1997</w:t>
      </w:r>
    </w:p>
    <w:p w:rsidR="00000000" w:rsidDel="00000000" w:rsidP="00000000" w:rsidRDefault="00000000" w:rsidRPr="00000000">
      <w:pPr>
        <w:spacing w:after="0" w:before="0" w:lineRule="auto"/>
        <w:contextualSpacing w:val="0"/>
        <w:rPr>
          <w:rFonts w:ascii="Arial" w:cs="Arial" w:eastAsia="Arial" w:hAnsi="Arial"/>
        </w:rPr>
      </w:pPr>
      <w:r w:rsidDel="00000000" w:rsidR="00000000" w:rsidRPr="00000000">
        <w:rPr>
          <w:rFonts w:ascii="Arial" w:cs="Arial" w:eastAsia="Arial" w:hAnsi="Arial"/>
          <w:rtl w:val="0"/>
        </w:rPr>
        <w:t xml:space="preserve">_________. O processo civilizador. Vol 1. Rio de Janeiro: Zahar, 1994</w:t>
      </w:r>
    </w:p>
    <w:p w:rsidR="00000000" w:rsidDel="00000000" w:rsidP="00000000" w:rsidRDefault="00000000" w:rsidRPr="00000000">
      <w:pPr>
        <w:spacing w:after="0" w:before="0" w:lineRule="auto"/>
        <w:contextualSpacing w:val="0"/>
        <w:rPr>
          <w:rFonts w:ascii="Arial" w:cs="Arial" w:eastAsia="Arial" w:hAnsi="Arial"/>
        </w:rPr>
      </w:pPr>
      <w:r w:rsidDel="00000000" w:rsidR="00000000" w:rsidRPr="00000000">
        <w:rPr>
          <w:rFonts w:ascii="Arial" w:cs="Arial" w:eastAsia="Arial" w:hAnsi="Arial"/>
          <w:rtl w:val="0"/>
        </w:rPr>
        <w:t xml:space="preserve">GAY, P. </w:t>
      </w:r>
      <w:r w:rsidDel="00000000" w:rsidR="00000000" w:rsidRPr="00000000">
        <w:rPr>
          <w:rFonts w:ascii="Arial" w:cs="Arial" w:eastAsia="Arial" w:hAnsi="Arial"/>
          <w:i w:val="1"/>
          <w:rtl w:val="0"/>
        </w:rPr>
        <w:t xml:space="preserve">A cultura de Weimar.</w:t>
      </w:r>
      <w:r w:rsidDel="00000000" w:rsidR="00000000" w:rsidRPr="00000000">
        <w:rPr>
          <w:rFonts w:ascii="Arial" w:cs="Arial" w:eastAsia="Arial" w:hAnsi="Arial"/>
          <w:rtl w:val="0"/>
        </w:rPr>
        <w:t xml:space="preserve"> Rio de Janeiro, Paz e Terra, 1978</w:t>
      </w:r>
    </w:p>
    <w:p w:rsidR="00000000" w:rsidDel="00000000" w:rsidP="00000000" w:rsidRDefault="00000000" w:rsidRPr="00000000">
      <w:pPr>
        <w:spacing w:after="0" w:before="0" w:lineRule="auto"/>
        <w:contextualSpacing w:val="0"/>
        <w:rPr>
          <w:rFonts w:ascii="Arial" w:cs="Arial" w:eastAsia="Arial" w:hAnsi="Arial"/>
        </w:rPr>
      </w:pPr>
      <w:r w:rsidDel="00000000" w:rsidR="00000000" w:rsidRPr="00000000">
        <w:rPr>
          <w:rFonts w:ascii="Arial" w:cs="Arial" w:eastAsia="Arial" w:hAnsi="Arial"/>
          <w:rtl w:val="0"/>
        </w:rPr>
        <w:t xml:space="preserve">KIRSCHBAUM, S. </w:t>
      </w:r>
      <w:r w:rsidDel="00000000" w:rsidR="00000000" w:rsidRPr="00000000">
        <w:rPr>
          <w:rFonts w:ascii="Arial" w:cs="Arial" w:eastAsia="Arial" w:hAnsi="Arial"/>
          <w:i w:val="1"/>
          <w:rtl w:val="0"/>
        </w:rPr>
        <w:t xml:space="preserve">Carl Schmitt e Walter Benjamin</w:t>
      </w:r>
      <w:r w:rsidDel="00000000" w:rsidR="00000000" w:rsidRPr="00000000">
        <w:rPr>
          <w:rFonts w:ascii="Arial" w:cs="Arial" w:eastAsia="Arial" w:hAnsi="Arial"/>
          <w:rtl w:val="0"/>
        </w:rPr>
        <w:t xml:space="preserve">, In. Cadernos de Filosofia Alemã: crítica da modernidade, nº8, 2002. p.p.61,84.</w:t>
        <w:br w:type="textWrapping"/>
        <w:t xml:space="preserve">LOWY, M.</w:t>
      </w:r>
      <w:r w:rsidDel="00000000" w:rsidR="00000000" w:rsidRPr="00000000">
        <w:rPr>
          <w:rFonts w:ascii="Arial" w:cs="Arial" w:eastAsia="Arial" w:hAnsi="Arial"/>
          <w:i w:val="1"/>
          <w:rtl w:val="0"/>
        </w:rPr>
        <w:t xml:space="preserve"> Walter Benjamin: aviso de incêndio</w:t>
      </w:r>
      <w:r w:rsidDel="00000000" w:rsidR="00000000" w:rsidRPr="00000000">
        <w:rPr>
          <w:rFonts w:ascii="Arial" w:cs="Arial" w:eastAsia="Arial" w:hAnsi="Arial"/>
          <w:rtl w:val="0"/>
        </w:rPr>
        <w:t xml:space="preserve">. São Paulo: Boitempo, 2005</w:t>
      </w:r>
    </w:p>
    <w:p w:rsidR="00000000" w:rsidDel="00000000" w:rsidP="00000000" w:rsidRDefault="00000000" w:rsidRPr="00000000">
      <w:pPr>
        <w:spacing w:after="0" w:before="0" w:lineRule="auto"/>
        <w:contextualSpacing w:val="0"/>
        <w:rPr>
          <w:rFonts w:ascii="Arial" w:cs="Arial" w:eastAsia="Arial" w:hAnsi="Arial"/>
        </w:rPr>
      </w:pPr>
      <w:r w:rsidDel="00000000" w:rsidR="00000000" w:rsidRPr="00000000">
        <w:rPr>
          <w:rFonts w:ascii="Arial" w:cs="Arial" w:eastAsia="Arial" w:hAnsi="Arial"/>
          <w:rtl w:val="0"/>
        </w:rPr>
        <w:t xml:space="preserve">MATOS, O. </w:t>
      </w:r>
      <w:r w:rsidDel="00000000" w:rsidR="00000000" w:rsidRPr="00000000">
        <w:rPr>
          <w:rFonts w:ascii="Arial" w:cs="Arial" w:eastAsia="Arial" w:hAnsi="Arial"/>
          <w:i w:val="1"/>
          <w:rtl w:val="0"/>
        </w:rPr>
        <w:t xml:space="preserve">Modernidade: república em estado de exceção</w:t>
      </w:r>
      <w:r w:rsidDel="00000000" w:rsidR="00000000" w:rsidRPr="00000000">
        <w:rPr>
          <w:rFonts w:ascii="Arial" w:cs="Arial" w:eastAsia="Arial" w:hAnsi="Arial"/>
          <w:rtl w:val="0"/>
        </w:rPr>
        <w:t xml:space="preserve">. In. Revista USP, São Paulo, nº59, 2003, p.46,53. Disponivel em: http://www.revistas.usp.br/revusp/article/view/13275/15093</w:t>
      </w:r>
    </w:p>
    <w:p w:rsidR="00000000" w:rsidDel="00000000" w:rsidP="00000000" w:rsidRDefault="00000000" w:rsidRPr="00000000">
      <w:pPr>
        <w:spacing w:after="0" w:before="0" w:lineRule="auto"/>
        <w:contextualSpacing w:val="0"/>
        <w:rPr>
          <w:rFonts w:ascii="Arial" w:cs="Arial" w:eastAsia="Arial" w:hAnsi="Arial"/>
        </w:rPr>
      </w:pPr>
      <w:r w:rsidDel="00000000" w:rsidR="00000000" w:rsidRPr="00000000">
        <w:rPr>
          <w:rFonts w:ascii="Arial" w:cs="Arial" w:eastAsia="Arial" w:hAnsi="Arial"/>
          <w:rtl w:val="0"/>
        </w:rPr>
        <w:t xml:space="preserve">RICHARDS, L. </w:t>
      </w:r>
      <w:r w:rsidDel="00000000" w:rsidR="00000000" w:rsidRPr="00000000">
        <w:rPr>
          <w:rFonts w:ascii="Arial" w:cs="Arial" w:eastAsia="Arial" w:hAnsi="Arial"/>
          <w:i w:val="1"/>
          <w:rtl w:val="0"/>
        </w:rPr>
        <w:t xml:space="preserve">A república de Weimar</w:t>
      </w:r>
      <w:r w:rsidDel="00000000" w:rsidR="00000000" w:rsidRPr="00000000">
        <w:rPr>
          <w:rFonts w:ascii="Arial" w:cs="Arial" w:eastAsia="Arial" w:hAnsi="Arial"/>
          <w:rtl w:val="0"/>
        </w:rPr>
        <w:t xml:space="preserve">. São Paulo, Cia das Letras, 1988</w:t>
      </w:r>
    </w:p>
    <w:p w:rsidR="00000000" w:rsidDel="00000000" w:rsidP="00000000" w:rsidRDefault="00000000" w:rsidRPr="00000000">
      <w:pPr>
        <w:spacing w:after="0" w:before="0" w:lineRule="auto"/>
        <w:contextualSpacing w:val="0"/>
        <w:rPr>
          <w:rFonts w:ascii="Arial" w:cs="Arial" w:eastAsia="Arial" w:hAnsi="Arial"/>
        </w:rPr>
      </w:pPr>
      <w:r w:rsidDel="00000000" w:rsidR="00000000" w:rsidRPr="00000000">
        <w:rPr>
          <w:rFonts w:ascii="Arial" w:cs="Arial" w:eastAsia="Arial" w:hAnsi="Arial"/>
          <w:rtl w:val="0"/>
        </w:rPr>
        <w:t xml:space="preserve">RINGER, F. </w:t>
      </w:r>
      <w:r w:rsidDel="00000000" w:rsidR="00000000" w:rsidRPr="00000000">
        <w:rPr>
          <w:rFonts w:ascii="Arial" w:cs="Arial" w:eastAsia="Arial" w:hAnsi="Arial"/>
          <w:i w:val="1"/>
          <w:rtl w:val="0"/>
        </w:rPr>
        <w:t xml:space="preserve">O declínio dos mandarins alemães</w:t>
      </w:r>
      <w:r w:rsidDel="00000000" w:rsidR="00000000" w:rsidRPr="00000000">
        <w:rPr>
          <w:rFonts w:ascii="Arial" w:cs="Arial" w:eastAsia="Arial" w:hAnsi="Arial"/>
          <w:rtl w:val="0"/>
        </w:rPr>
        <w:t xml:space="preserve">. São Paulo, Edusp, 2000</w:t>
      </w:r>
    </w:p>
    <w:p w:rsidR="00000000" w:rsidDel="00000000" w:rsidP="00000000" w:rsidRDefault="00000000" w:rsidRPr="00000000">
      <w:pPr>
        <w:spacing w:after="0" w:before="0" w:lineRule="auto"/>
        <w:contextualSpacing w:val="0"/>
        <w:rPr>
          <w:rFonts w:ascii="Arial" w:cs="Arial" w:eastAsia="Arial" w:hAnsi="Arial"/>
        </w:rPr>
      </w:pPr>
      <w:r w:rsidDel="00000000" w:rsidR="00000000" w:rsidRPr="00000000">
        <w:rPr>
          <w:rFonts w:ascii="Arial" w:cs="Arial" w:eastAsia="Arial" w:hAnsi="Arial"/>
          <w:rtl w:val="0"/>
        </w:rPr>
        <w:t xml:space="preserve">SCHMITT, C. </w:t>
      </w:r>
      <w:r w:rsidDel="00000000" w:rsidR="00000000" w:rsidRPr="00000000">
        <w:rPr>
          <w:rFonts w:ascii="Arial" w:cs="Arial" w:eastAsia="Arial" w:hAnsi="Arial"/>
          <w:i w:val="1"/>
          <w:rtl w:val="0"/>
        </w:rPr>
        <w:t xml:space="preserve">Legalidade e Legitimidade</w:t>
      </w:r>
      <w:r w:rsidDel="00000000" w:rsidR="00000000" w:rsidRPr="00000000">
        <w:rPr>
          <w:rFonts w:ascii="Arial" w:cs="Arial" w:eastAsia="Arial" w:hAnsi="Arial"/>
          <w:rtl w:val="0"/>
        </w:rPr>
        <w:t xml:space="preserve">. Madri. Aguilar Ed, 1971.</w:t>
      </w:r>
    </w:p>
    <w:p w:rsidR="00000000" w:rsidDel="00000000" w:rsidP="00000000" w:rsidRDefault="00000000" w:rsidRPr="00000000">
      <w:pPr>
        <w:spacing w:after="0" w:before="0" w:lineRule="auto"/>
        <w:contextualSpacing w:val="0"/>
        <w:rPr>
          <w:rFonts w:ascii="Arial" w:cs="Arial" w:eastAsia="Arial" w:hAnsi="Arial"/>
        </w:rPr>
      </w:pPr>
      <w:r w:rsidDel="00000000" w:rsidR="00000000" w:rsidRPr="00000000">
        <w:rPr>
          <w:rFonts w:ascii="Arial" w:cs="Arial" w:eastAsia="Arial" w:hAnsi="Arial"/>
          <w:rtl w:val="0"/>
        </w:rPr>
        <w:t xml:space="preserve">_______.</w:t>
      </w:r>
      <w:r w:rsidDel="00000000" w:rsidR="00000000" w:rsidRPr="00000000">
        <w:rPr>
          <w:rFonts w:ascii="Arial" w:cs="Arial" w:eastAsia="Arial" w:hAnsi="Arial"/>
          <w:i w:val="1"/>
          <w:rtl w:val="0"/>
        </w:rPr>
        <w:t xml:space="preserve">Nomos da Terra: no direito das gentes jus publicum europeum</w:t>
      </w:r>
      <w:r w:rsidDel="00000000" w:rsidR="00000000" w:rsidRPr="00000000">
        <w:rPr>
          <w:rFonts w:ascii="Arial" w:cs="Arial" w:eastAsia="Arial" w:hAnsi="Arial"/>
          <w:rtl w:val="0"/>
        </w:rPr>
        <w:t xml:space="preserve">. São Paulo: Contraponto, 2015</w:t>
      </w:r>
    </w:p>
    <w:p w:rsidR="00000000" w:rsidDel="00000000" w:rsidP="00000000" w:rsidRDefault="00000000" w:rsidRPr="00000000">
      <w:pPr>
        <w:spacing w:after="0" w:before="0" w:lineRule="auto"/>
        <w:contextualSpacing w:val="0"/>
        <w:rPr>
          <w:rFonts w:ascii="Arial" w:cs="Arial" w:eastAsia="Arial" w:hAnsi="Arial"/>
        </w:rPr>
      </w:pPr>
      <w:r w:rsidDel="00000000" w:rsidR="00000000" w:rsidRPr="00000000">
        <w:rPr>
          <w:rFonts w:ascii="Arial" w:cs="Arial" w:eastAsia="Arial" w:hAnsi="Arial"/>
          <w:rtl w:val="0"/>
        </w:rPr>
        <w:t xml:space="preserve">_______. </w:t>
      </w:r>
      <w:r w:rsidDel="00000000" w:rsidR="00000000" w:rsidRPr="00000000">
        <w:rPr>
          <w:rFonts w:ascii="Arial" w:cs="Arial" w:eastAsia="Arial" w:hAnsi="Arial"/>
          <w:i w:val="1"/>
          <w:rtl w:val="0"/>
        </w:rPr>
        <w:t xml:space="preserve">Political Theology: four chapters on the concept of sovereignty. </w:t>
      </w:r>
      <w:r w:rsidDel="00000000" w:rsidR="00000000" w:rsidRPr="00000000">
        <w:rPr>
          <w:rFonts w:ascii="Arial" w:cs="Arial" w:eastAsia="Arial" w:hAnsi="Arial"/>
          <w:rtl w:val="0"/>
        </w:rPr>
        <w:t xml:space="preserve">Chicago: University of Chicago Press, 2006</w:t>
      </w:r>
    </w:p>
    <w:p w:rsidR="00000000" w:rsidDel="00000000" w:rsidP="00000000" w:rsidRDefault="00000000" w:rsidRPr="00000000">
      <w:pPr>
        <w:spacing w:after="0" w:before="0" w:lineRule="auto"/>
        <w:contextualSpacing w:val="0"/>
        <w:rPr>
          <w:rFonts w:ascii="Arial" w:cs="Arial" w:eastAsia="Arial" w:hAnsi="Arial"/>
        </w:rPr>
      </w:pPr>
      <w:r w:rsidDel="00000000" w:rsidR="00000000" w:rsidRPr="00000000">
        <w:rPr>
          <w:rFonts w:ascii="Arial" w:cs="Arial" w:eastAsia="Arial" w:hAnsi="Arial"/>
          <w:rtl w:val="0"/>
        </w:rPr>
        <w:t xml:space="preserve">________. </w:t>
      </w:r>
      <w:r w:rsidDel="00000000" w:rsidR="00000000" w:rsidRPr="00000000">
        <w:rPr>
          <w:rFonts w:ascii="Arial" w:cs="Arial" w:eastAsia="Arial" w:hAnsi="Arial"/>
          <w:i w:val="1"/>
          <w:rtl w:val="0"/>
        </w:rPr>
        <w:t xml:space="preserve">The concept of the political.</w:t>
      </w:r>
      <w:r w:rsidDel="00000000" w:rsidR="00000000" w:rsidRPr="00000000">
        <w:rPr>
          <w:rFonts w:ascii="Arial" w:cs="Arial" w:eastAsia="Arial" w:hAnsi="Arial"/>
          <w:rtl w:val="0"/>
        </w:rPr>
        <w:t xml:space="preserve"> Chicago: University of Chicago Press, 2007</w:t>
      </w:r>
    </w:p>
    <w:p w:rsidR="00000000" w:rsidDel="00000000" w:rsidP="00000000" w:rsidRDefault="00000000" w:rsidRPr="00000000">
      <w:pPr>
        <w:spacing w:after="0" w:before="0" w:lineRule="auto"/>
        <w:contextualSpacing w:val="0"/>
        <w:rPr>
          <w:rFonts w:ascii="Arial" w:cs="Arial" w:eastAsia="Arial" w:hAnsi="Arial"/>
        </w:rPr>
      </w:pPr>
      <w:r w:rsidDel="00000000" w:rsidR="00000000" w:rsidRPr="00000000">
        <w:rPr>
          <w:rFonts w:ascii="Arial" w:cs="Arial" w:eastAsia="Arial" w:hAnsi="Arial"/>
          <w:rtl w:val="0"/>
        </w:rPr>
        <w:t xml:space="preserve">________. </w:t>
      </w:r>
      <w:r w:rsidDel="00000000" w:rsidR="00000000" w:rsidRPr="00000000">
        <w:rPr>
          <w:rFonts w:ascii="Arial" w:cs="Arial" w:eastAsia="Arial" w:hAnsi="Arial"/>
          <w:i w:val="1"/>
          <w:rtl w:val="0"/>
        </w:rPr>
        <w:t xml:space="preserve">The source of the tragic</w:t>
      </w:r>
      <w:r w:rsidDel="00000000" w:rsidR="00000000" w:rsidRPr="00000000">
        <w:rPr>
          <w:rFonts w:ascii="Arial" w:cs="Arial" w:eastAsia="Arial" w:hAnsi="Arial"/>
          <w:rtl w:val="0"/>
        </w:rPr>
        <w:t xml:space="preserve">. In Revista Telos, nº 72, 1987, p. 133-151. Disponível em: http://www.telospress.com/carl-schmitt-on-the-source-of-the-tragic/</w:t>
      </w:r>
    </w:p>
    <w:p w:rsidR="00000000" w:rsidDel="00000000" w:rsidP="00000000" w:rsidRDefault="00000000" w:rsidRPr="00000000">
      <w:pPr>
        <w:spacing w:after="0" w:before="0" w:lineRule="auto"/>
        <w:contextualSpacing w:val="0"/>
        <w:rPr>
          <w:rFonts w:ascii="Arial" w:cs="Arial" w:eastAsia="Arial" w:hAnsi="Arial"/>
        </w:rPr>
      </w:pPr>
      <w:r w:rsidDel="00000000" w:rsidR="00000000" w:rsidRPr="00000000">
        <w:rPr>
          <w:rFonts w:ascii="Arial" w:cs="Arial" w:eastAsia="Arial" w:hAnsi="Arial"/>
          <w:rtl w:val="0"/>
        </w:rPr>
        <w:t xml:space="preserve">SOREL, G. </w:t>
      </w:r>
      <w:r w:rsidDel="00000000" w:rsidR="00000000" w:rsidRPr="00000000">
        <w:rPr>
          <w:rFonts w:ascii="Arial" w:cs="Arial" w:eastAsia="Arial" w:hAnsi="Arial"/>
          <w:i w:val="1"/>
          <w:rtl w:val="0"/>
        </w:rPr>
        <w:t xml:space="preserve">Reflexões sobre a violência</w:t>
      </w:r>
      <w:r w:rsidDel="00000000" w:rsidR="00000000" w:rsidRPr="00000000">
        <w:rPr>
          <w:rFonts w:ascii="Arial" w:cs="Arial" w:eastAsia="Arial" w:hAnsi="Arial"/>
          <w:rtl w:val="0"/>
        </w:rPr>
        <w:t xml:space="preserve">. São Paulo: Martins Fontes, 1992</w:t>
      </w:r>
    </w:p>
    <w:p w:rsidR="00000000" w:rsidDel="00000000" w:rsidP="00000000" w:rsidRDefault="00000000" w:rsidRPr="00000000">
      <w:pPr>
        <w:spacing w:after="0" w:before="0" w:lineRule="auto"/>
        <w:contextualSpacing w:val="0"/>
        <w:rPr>
          <w:rFonts w:ascii="Arial" w:cs="Arial" w:eastAsia="Arial" w:hAnsi="Arial"/>
        </w:rPr>
      </w:pPr>
      <w:r w:rsidDel="00000000" w:rsidR="00000000" w:rsidRPr="00000000">
        <w:rPr>
          <w:rFonts w:ascii="Arial" w:cs="Arial" w:eastAsia="Arial" w:hAnsi="Arial"/>
          <w:rtl w:val="0"/>
        </w:rPr>
        <w:t xml:space="preserve">WEBER,S. </w:t>
      </w:r>
      <w:r w:rsidDel="00000000" w:rsidR="00000000" w:rsidRPr="00000000">
        <w:rPr>
          <w:rFonts w:ascii="Arial" w:cs="Arial" w:eastAsia="Arial" w:hAnsi="Arial"/>
          <w:i w:val="1"/>
          <w:rtl w:val="0"/>
        </w:rPr>
        <w:t xml:space="preserve">Talking about exception to decision: W. Benjamin and Carl Schmitt</w:t>
      </w:r>
      <w:r w:rsidDel="00000000" w:rsidR="00000000" w:rsidRPr="00000000">
        <w:rPr>
          <w:rFonts w:ascii="Arial" w:cs="Arial" w:eastAsia="Arial" w:hAnsi="Arial"/>
          <w:rtl w:val="0"/>
        </w:rPr>
        <w:t xml:space="preserve">. Disponível em: </w:t>
      </w:r>
      <w:hyperlink r:id="rId6">
        <w:r w:rsidDel="00000000" w:rsidR="00000000" w:rsidRPr="00000000">
          <w:rPr>
            <w:rFonts w:ascii="Arial" w:cs="Arial" w:eastAsia="Arial" w:hAnsi="Arial"/>
            <w:color w:val="0000ff"/>
            <w:u w:val="single"/>
            <w:rtl w:val="0"/>
          </w:rPr>
          <w:t xml:space="preserve">http://users.clas.ufl.edu/burt/Renaissancetragedy/Weber.pdf</w:t>
        </w:r>
      </w:hyperlink>
      <w:r w:rsidDel="00000000" w:rsidR="00000000" w:rsidRPr="00000000">
        <w:rPr>
          <w:rtl w:val="0"/>
        </w:rPr>
      </w:r>
    </w:p>
    <w:p w:rsidR="00000000" w:rsidDel="00000000" w:rsidP="00000000" w:rsidRDefault="00000000" w:rsidRPr="00000000">
      <w:pPr>
        <w:spacing w:after="0" w:before="0" w:lineRule="auto"/>
        <w:contextualSpacing w:val="0"/>
        <w:rPr>
          <w:rFonts w:ascii="Arial" w:cs="Arial" w:eastAsia="Arial" w:hAnsi="Arial"/>
        </w:rPr>
      </w:pPr>
      <w:r w:rsidDel="00000000" w:rsidR="00000000" w:rsidRPr="00000000">
        <w:rPr>
          <w:rFonts w:ascii="Arial" w:cs="Arial" w:eastAsia="Arial" w:hAnsi="Arial"/>
          <w:rtl w:val="0"/>
        </w:rPr>
        <w:t xml:space="preserve">ZIZEK, S. </w:t>
      </w:r>
      <w:r w:rsidDel="00000000" w:rsidR="00000000" w:rsidRPr="00000000">
        <w:rPr>
          <w:rFonts w:ascii="Arial" w:cs="Arial" w:eastAsia="Arial" w:hAnsi="Arial"/>
          <w:i w:val="1"/>
          <w:rtl w:val="0"/>
        </w:rPr>
        <w:t xml:space="preserve">Violência</w:t>
      </w:r>
      <w:r w:rsidDel="00000000" w:rsidR="00000000" w:rsidRPr="00000000">
        <w:rPr>
          <w:rFonts w:ascii="Arial" w:cs="Arial" w:eastAsia="Arial" w:hAnsi="Arial"/>
          <w:rtl w:val="0"/>
        </w:rPr>
        <w:t xml:space="preserve">. São Paulo: Boitempo, 2014</w:t>
      </w:r>
    </w:p>
    <w:p w:rsidR="00000000" w:rsidDel="00000000" w:rsidP="00000000" w:rsidRDefault="00000000" w:rsidRPr="00000000">
      <w:pPr>
        <w:contextualSpacing w:val="0"/>
        <w:rPr>
          <w:rFonts w:ascii="Arial" w:cs="Arial" w:eastAsia="Arial" w:hAnsi="Arial"/>
        </w:rPr>
      </w:pPr>
      <w:r w:rsidDel="00000000" w:rsidR="00000000" w:rsidRPr="00000000">
        <w:rPr>
          <w:rtl w:val="0"/>
        </w:rPr>
      </w:r>
    </w:p>
    <w:sectPr>
      <w:headerReference r:id="rId7" w:type="default"/>
      <w:headerReference r:id="rId8" w:type="first"/>
      <w:footerReference r:id="rId9" w:type="default"/>
      <w:footerReference r:id="rId10" w:type="firs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708"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Annie Dymetman nos mostra que não faltavam indícios ao filósofo da semelhança entre seu tempo e seu objeto de estudo, “o universo barroco pode ser visto como uma alegoria do estado total qualitativo de Schmitt no qual a missão do príncipe é implantar um reino estável” (DYMETMAN, 2002: 142) lacrando a história e protegendo o mundo de toda e qualquer mudança, mas também como uma “crítica a cristalização de tendências táticas que desde o inicio do século vinham dividindo a esquerda” (ibidem. ibidem) desde a Segunda Internacional (1889-1916) entre reformistas e revolucionários, partidos e sindicatos, socialdemocratas e Espartaquistas. Na Alemanha, Benjamin certamente acompanhou durante a Primeira Guerra Mundial a disputa entre aqueles que viam na participação do país aspirações imperialistas de conquista e partilha de mercados, e de uma maioria que viam uma defesa da pátria, daqueles que à esquerda, propunham a paz e dos outros que propunham a revolução. Em 1918 há a revolução que derruba o Império, e o chanceler da social democracia Friedrich Elbert forma um acordo com o alto comando do exercito para estabelecer a ordem. No ano seguinte, trabalhadores insurgentes são presos e assassinatos junto com lideres Espartaquistas. Os assassinatos nunca investigados de Rosa Luxemburgo e Karl Liebknecht meses antes da inauguração da República de Weimar também  davam as cores do presente, as formas do barroco.</w:t>
      </w:r>
      <w:r w:rsidDel="00000000" w:rsidR="00000000" w:rsidRPr="00000000">
        <w:rPr>
          <w:rtl w:val="0"/>
        </w:rPr>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Norbert Elias nos mostra como, na tentativa de conquista da Europa, a invasão napoleônica à já belicosa Prússia criou nos alemães não apenas um pífio movimento de resistência seguido um sentimento antifrancês, como também uma sensação de fraqueza e impotência do país perante o mundo. Se de um lado os “estudantes alemães formaram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Freikorps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ou brigadas de voluntários, que hostilizavam as tropas de ocupação napoleônicas” (ELIAS, 1997: 20) dando vazão ao seu sentimento do oprimido, alimentado até a campanha da Guerra Franco-Prussiana, de outro lado, a recuperação posterior do país foi interpretada como superação de sua fraqueza pela demonstração de força nas batalhas de sua unificação em 1871, os alemães tinham uma resposta clara e inequívoca para a transição que passaram, “a mudança ocorreu através de uma curta série de vitórias militares” (ibidem, p.114) em países vizinhos como Áustria (Guerra Austro-Prussiana), Dinamarca (Guerras de Schleswig ou Guerra dos Ducados) e a própria França (Guerra Franco-Prussiana), de modo que em detrimento a “ideia de que preservar a consideração pelos outros, o amor e a solicitude de ajudar o outro” (ibidem, ibidem) se constituiu no alemão um ideário patriótico de glorificação da força e da guerra que repercutiu nas aspirações imperialistas durante a Primeira Guerra Mundial e que foi abalado com sua derrota.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Tratado de Versalles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assinado em 1919, considerou a Alemanha culpada por provocar a Primeira Guerra Mundial, impondo-a uma indenização pesada pelos custos da Guerra, limitação do numero de homens de suas Forças Armadas, e perda do território e colônias do antigo Império. Segundo Cury, essas condenações foram percebidas “como um verdadeiro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Diktat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imposto pelos vencedores, sobretudo pela França” (CURY, 1998: 86), os alemães se sentiram humilhados pelos franceses com os quais rivalizavam desde a invasão napoleônica.</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 cultura, tal como a guerra foi fundamental para inscrição da “germanidade” na alma do alemão. Em suas mais variadas expressões, tivemos desde a tentativa de apresentar um “Renascimento tardio” como mostras da superioridade do espírito alemão em relação ao mundo no classicismo de J. J. Winckelman e na exaltação de F. Nietzsche à música de R. Wagner, até, a produção de um nacionalismo nas expressões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Volkisch</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do romantismo alemão que emergindo contra a modernidade, buscava a unificação da alma alemã, fazendo da cultura o plano de “correspondência plena entre o individuo e o solo natal” (DYMETMAN, 2002:73). </w:t>
      </w:r>
      <w:r w:rsidDel="00000000" w:rsidR="00000000" w:rsidRPr="00000000">
        <w:rPr>
          <w:rtl w:val="0"/>
        </w:rPr>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Ao contrário dos franceses e dos ingleses, Alemanha nunca passou por uma Revolução Burguesa em seu processo civilizatório e desenvolvimento industrial. O mais próximo que a Alemanha chegou de uma Revolução dessa espécie foram a Reforma Protestante promovida por Martinho Lutero e a Revolução de 1848 que a modernizou perpetuando o poder de sua elite agrária (DYMETMAN, 2002: 8). Esses dois momentos fizeram não apenas de sua burguesia extremamente rural, prosaica e conservadora no que se refere aos costumes e a política, como também fizeram de sua revolução política, teológica. </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Fritz Ringer nos mostra a rápida industrialização alemã antes da Primeira Guerra, “no espaço de algumas décadas a Alemanha tinha se transformado de um país relativamente atrasado e predominantemente agrícola numa das maiores potencias industriais do mundo” (RINGER, 2000: 55). Esse rápido desenvolvimento teve consequências significativas do suporte material da guerra à educação mais voltada para a técnica de uma emergente classe média, consolidando a percepção positiva do progresso tecnológico na sociedade alemã. Todavia, “a industrialização foi tão abrupta e os transtornos tão notáveis que as rivalidades econômicas e sociais tornaram-se proeminentes na vida política da nação” na sequencia dos anos de Weimar. </w:t>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 nova República Alemã deveria modernizar-se, representando uma redescoberta da política na nação ao reformar radicalmente as estruturas de poder, militarista, burocrática, hierarquizada e classista, herdada pela unificação do Segundo Reich (1871)</w:t>
      </w:r>
    </w:p>
  </w:footnote>
  <w:footnote w:id="7">
    <w:p w:rsidR="00000000" w:rsidDel="00000000" w:rsidP="00000000" w:rsidRDefault="00000000" w:rsidRPr="00000000">
      <w:pPr>
        <w:spacing w:after="0" w:line="240" w:lineRule="auto"/>
        <w:contextualSpacing w:val="0"/>
        <w:jc w:val="both"/>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8"/>
          <w:szCs w:val="18"/>
          <w:rtl w:val="0"/>
        </w:rPr>
        <w:t xml:space="preserve">Bercovini aponta que “a declaração de direitos da Constituição de Weimar poderia ser dividida entre direitos de liberdade de individuo, direitos democráticos, direitos socialistas de prestação social ou cultural, direito das organizações publicas contra o Estado, garantias institucionais e garantias de instituto” (BERCOVINI, 2004a: 32). Dos direitos relacionados a um espectro mais liberal podemos destacar: liberdade pessoal (artigo 114), liberdade de opinião (artigo 118), liberdade de reunião e manifestação (artigo 123), direito a propriedade privada (artigo 115). Já os direitos sociais estariam expressos no direito e proteção ao trabalho (artigos 163 e 157), previdência e assistência social (artigo 161), direito de sindicalização (artigo 159), função social da propriedade (artigo 153), reforma agrária (artigo 155), democracia econômica (artigo 165)</w:t>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Fritz Ringer aponta que “a inflação significou a ruína econômica, sobretudo, para aqueles grupos sociais que já se achavam em desvantagem  comparativa em uma época de rápida industrialização” (RINGER, 2000: 73) em três níveis. Primeiro, destruiu a poupança em dinheiro enriquecendo banqueiros e agiotas; segundo penalizou empregados com salários já defasados e ajudou empregadores, e por fim trouxe perdas em transações comerciais e trocas de mercadorias. Esses problemas demoliram com a socialdemocracia e inflou a construção do mito da Grande Alemanha e do conservadorismo nacional expresso nas palavras de Aloys Fischer: “Se ridiculariza tudo o que inspirou e guiou nossos antepassados e a nós mesmos, se rouba do povo a sua fé em Deus, sua realeza, na pátria , na família, no direito de herdar propriedade adquirida honestamente, o que resta para um ser humano intelectual e espiritualmente tão empobrecido e espoliado (...)? Foi aqui que acabamos chegando, graças à visão de mundo materialista da socialdemocracia.” E nos versos de Gustav Roethe: “Não deixem que Bismarck morra dentro de vocês. Não desistam, bandeiras em punho. Queira a si mesma, terra alemã. Queira a si mesma, vença o infortúnio. Bismark estava morto, não está mais” (ibidem: 207-211). </w:t>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BENJAMIN, W.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Alarme contra o incêncido.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Rua de Mão Única. Belo Horizonte: Autêntica: 2012</w:t>
      </w:r>
      <w:r w:rsidDel="00000000" w:rsidR="00000000" w:rsidRPr="00000000">
        <w:rPr>
          <w:rtl w:val="0"/>
        </w:rPr>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Durante a Grande Guerra houve uma disputa interna entre a esquerda alemã que se dividiu entre a socialdemocracia (SPD) que defendia apoio ao Império em nome da defesa da civilização alemã, e a esquerda revolucionária formada pela Liga Espartaquista (USPD), que denunciava as intenções imperialistas da Reich. No ano de 1917, quando o governo alemão já se percebia derrotado na Guerra houve a Revolução Russa, que refletiu na Alemanha com diversas greves e revoltas coordenadas pelos trabalhadores organizados e a Liga Espartaquista, bicotadas pelos sindicatos socialdemocratas. Em novembro de 1918 começam uma insurreição contra o Império, “greves, manifestações, assembleias gerais, discursos, votações de resoluções, ocupações de prédios públicos, cortejos fúnebres se repetem sensivelmente da mesma maneira, em datas por vezes diferente, nos centros urbanos de  todos Estados federados que formavam o Império” (RICHARD, 1988: 40,41). No primeiro momento os socialdemocratas fizeram apelos para que os trabalhadores não participassem dos manifestos Espartaquistas, mas após a proclamação da republica na Baviera propôs um governo de coalizão que aos poucos foi minando a presença do radicalismo Espartaquista em sua maioria na Assembléia Constituinte e no Congresso. Desse modo nascia a Republica de Weimar de “uma guerra civil no interior da esquerda republicana”, a proclamação da República “foi um ato dirigido não apenas a Monarquia, mas contra os Espartacistas” (GAY, 1978: 25). A Revolução de 1918 se tornaria inacabada com a perspectiva socialdemocrata de Weimar, tendo como seu ultimo suspiro a fracassada tentativa do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outubro alemão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em 1920 pelo Partido Comunista Alemão (KPD). Não por menos Benjamin diz que “a ascensão do fascismo atesta uma revolução fracassada”. </w:t>
      </w:r>
    </w:p>
  </w:footnote>
  <w:footnote w:id="1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disputa intera entra a esquerda não foi poupada pelas forças conservadoras e contrarrevolucionarias. O desgaste da socialdemocracia ao minar o governo de coalizão foi grande em setores populares. Annie Dymetman apresenta que imediatamente após a Constituição promulgada, o Parlamento eleito por 75% do eleitorado, composto de sociais-democratas, democratas e católicos, tinha apoio apenas de uma minoria em menos de um ano (Cf. DYMETMAN, 2002: 11) fortalecendo a oposição conservadora onde encontrava eco de sua insatisfação. O movimento nacionalista e conservador alemão (Konservative Revolution - KR) tentaram derrubar a república em 1920 numa ação conhecida como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putsch de Kapp,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fracassaram nesse momento mas  chocaram o ovo que anos mais tarde deu luz ao nazismo. </w:t>
      </w:r>
    </w:p>
  </w:footnote>
  <w:footnote w:id="1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Durante a formação da Constituição de Weimar o contexto jurídico-filosófico sobre a função constitucional girou sobre duas perspectivas, uma hegeliana e outra neokantiana. Gilberto Bercovini define essas duas perspectivas da seguinte maneira: de um lado uma vertente hegeliana segundo </w:t>
      </w:r>
      <w:r w:rsidDel="00000000" w:rsidR="00000000" w:rsidRPr="00000000">
        <w:rPr>
          <w:rFonts w:ascii="Arial" w:cs="Arial" w:eastAsia="Arial" w:hAnsi="Arial"/>
          <w:b w:val="0"/>
          <w:i w:val="0"/>
          <w:smallCaps w:val="0"/>
          <w:strike w:val="0"/>
          <w:color w:val="548dd4"/>
          <w:sz w:val="18"/>
          <w:szCs w:val="18"/>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qual “a Constituição é a lei da vida política global de um Estado, ou seja, está ligado a um </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548dd4"/>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ser</w:t>
      </w:r>
      <w:r w:rsidDel="00000000" w:rsidR="00000000" w:rsidRPr="00000000">
        <w:rPr>
          <w:rFonts w:ascii="Arial" w:cs="Arial" w:eastAsia="Arial" w:hAnsi="Arial"/>
          <w:b w:val="0"/>
          <w:i w:val="0"/>
          <w:smallCaps w:val="0"/>
          <w:strike w:val="0"/>
          <w:color w:val="548dd4"/>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político do Estado” (Cf. BERCOVICI, 2004b, p.7) uma compreensão mais próxima dos socialdemocratas que entendiam a Constituição como regime político-social do país, confundindo o Estado como ente político</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 a </w:t>
      </w:r>
      <w:r w:rsidDel="00000000" w:rsidR="00000000" w:rsidRPr="00000000">
        <w:rPr>
          <w:rFonts w:ascii="Arial" w:cs="Arial" w:eastAsia="Arial" w:hAnsi="Arial"/>
          <w:b w:val="0"/>
          <w:i w:val="0"/>
          <w:smallCaps w:val="0"/>
          <w:strike w:val="0"/>
          <w:color w:val="548dd4"/>
          <w:sz w:val="18"/>
          <w:szCs w:val="18"/>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sua forma legal; de outro havia uma vertente que orbitavam em torno de posições neokantianas próximas ao Hans Kelsen e ao positivismo do Círculo de Viena segundo a qual a “Constituição é uma regra de direito que apenas regula o comportamento estatal, estando ligada ao dever ser do Estado” (ibidem, p.7</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548dd4"/>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como estatuto jurídico a sua base não é o ente político do Estado, mas a norma a qual estaria limitada, cabendo apenas regular o comportamento dos agentes estatais, interpretação mais ligada ao liberalismo</w:t>
      </w:r>
      <w:r w:rsidDel="00000000" w:rsidR="00000000" w:rsidRPr="00000000">
        <w:rPr>
          <w:rtl w:val="0"/>
        </w:rPr>
      </w:r>
    </w:p>
  </w:footnote>
  <w:footnote w:id="1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Benjamin estabeleceu um debate com o jurista Carl Schmitt em torno do tema de estado de exceção. O debate se dá em torno da legitimidade do poder de decisão do soberano em decretar o estado de exceção. Benjamin não nega a influência de Schmitt, em correspondência diz: “constará facilmente como o livro é devedor de seu trabalho, na exposição sobre a doutrina de soberania do século XVII. Permita ainda que lhe diga que encontrei também nas suas sobras posteriores (...) e nas suas reflexões sobre filosofia política a confirmação dos caminhos das minhas investigações estéticas” (BENJAMIN, 2013: 294); a Origem do drama barroco já era uma réplica a Schmitt há resposta crítica que o jurista dedicou ao seu ensaio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ootnote>
  <w:footnote w:id="1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Kirschbaum nos mostra o movimento de Schmitt da seguinte maneira. “Ao constatar que o Estado moderno é teologizado e dar como obvio que o milagre prova a existência d Deus, é necessário para teologia, então o estado de exceção, análogo ao milagre na política, é igualmente necessário para o Estado moderno, dessa forma naturalizando o estado de exceção” (KIRSCHBAUM, 2002: 78). Por sua vez Benjamin teria respondido radicalmente à Schmitt mostrando no Fragmento Teológico-Politico como a perspectiva divina não telos da dinâmica histórica, e que a politica como ordem do profano não pode ser construída sobre a ideia do Reino dos Céus, separando o carater político da teologia, mostrando que ela só tem significado religioso. </w:t>
      </w:r>
    </w:p>
  </w:footnote>
  <w:footnote w:id="1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Cf. AGAMBEN, G.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Estado de Exceção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São Paulo: Boitempo, 2004</w:t>
      </w:r>
    </w:p>
  </w:footnote>
  <w:footnote w:id="1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Schmitt diferencia em sua teoria legalidade, legitimidade e superlegitimidade. A primeira “significa obediência e disciplina, é o modo funcional de uma burocracia moderna estatal” (66), a segunda “significa a formula de identidade moral, ideológica, ou filosófica e a auto-imagem de um sistema político” (66) e por fim, a última “significa a validade com maior força de certas normas, em relação as normas simples (ou regulares), as normas normais” (66) nessa chave hierárquica que para ele justifica-se a intervenção extra-legal do soberano.</w:t>
      </w:r>
    </w:p>
  </w:footnote>
  <w:footnote w:id="1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Segundo Nobert Bolz, citado por Michael Lowy, o interesse em Benjamin em sua crítica da violência era entender a “analogia fisiognômica entre a crítica reacionária e a anarquista” uma vez que “ambas rejeitam os mitos liberais e percebem o Estado de exceção como núcleo da ordem política. A situação extrema possui um indicador histórico-filosofico: define o momento do ultimo combate entre Autoridade e Anarquia” (LOWY, apud KIRSCHBAUM, 2002: 62). </w:t>
      </w:r>
    </w:p>
  </w:footnote>
  <w:footnote w:id="1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BENJAMIN,W.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Para uma crítica da violência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 Escritos sobre mito e linguagem. São Paulo: Editora 34, 2013c</w:t>
      </w:r>
    </w:p>
  </w:footnote>
  <w:footnote w:id="1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 referência de Benjamin a Sorel deve-se a distinção que o sociólogo faz entre greve geral política e greve geral proletária. Na primeira, o Estado não perde a sua força, pelo contrário o poder passa de privilegiados a privilegiados; já na segunda a única tarefa é aniquilar o poder do Estado, nesse sentido “a primeira seria instauradora do direito, a segunda anarquista” (ibidem: 143). Enquanto a greve geral política estaria para a violência como meio que instaura de depois mantêm o direito, a greve geral política se apresentaria com aquela violência divina que, veremos, fora e além do direito, busca aniquilar o direito em favor dos viventes. </w:t>
      </w:r>
    </w:p>
  </w:footnote>
  <w:footnote w:id="2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Níobe, na mitologia grega, casou-se com, Anfião, o rei de Tebas e teve sete filhos e sete filhas, vangloriando-se como superior a deusa Leto, mãe de Apolo e Artemis que ofendida pediu para seus filhos a vingassem matando a flechadas seus setes filhos homens e depois suas filhas mulheres. Benjamin aponta que “a ação de Apolo e Artemis pode parecer um castigo. Mas a violência deles é muito mais instauração de um direito do que castigo pela transgressão de um direito existente. O orgulho de Níobe atrai a fatalidade sobre si, não porque fere o direito, mas porque desafia o destino” (147) que vence violentamente, engendrando pela vitória, um novo direito. </w:t>
      </w:r>
    </w:p>
  </w:footnote>
  <w:footnote w:id="2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BENJAMIN. W.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Fragmento Teológico-Político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 O anjo da história. Belo Horizonte: Autência, 2012.</w:t>
      </w:r>
    </w:p>
  </w:footnote>
  <w:footnote w:id="2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Cf. BENJAMIN, W. Sobre o conceito de história (tese VIII).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anjo da história. Belo Horizonte: Autência, 2012.</w:t>
      </w:r>
      <w:r w:rsidDel="00000000" w:rsidR="00000000" w:rsidRPr="00000000">
        <w:rPr>
          <w:rtl w:val="0"/>
        </w:rPr>
      </w:r>
    </w:p>
  </w:footnote>
  <w:footnote w:id="2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Benjamin diferencia uma alegoria medieval que tinha como função didática de fortalecer a autoridade cristão e teológica pela descaracterização dos deuses pagãos, de uma alegoria barroca que com o declínio da autoridade eclesiática após a secularização, incorporou como símbolo a autoridade mundana imperfeita, por isso sua representação é a moral e política. Assim, se “a alegoria medieval é crista e didática, o barroco regressa a Antiguidade, num sentido místico e histórico natural” (BENJAMIN, 2013a: 182), próxima aos mitos, a alegoria moderna se edifica pictoricamente na criação, “só essa alegoria ensina o artista a inventar, e é isso que o coloca ao nível do poeta”  (ibidem: 183)</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rPr>
        <w:trHeight w:val="420" w:hRule="atLeast"/>
      </w:trP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708"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users.clas.ufl.edu/burt/Renaissancetragedy/Weber.pdf" TargetMode="Externa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