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MESA 29 | Debates teóricos y metodológicos en torno a la producción y regulación de los géneros y la sexualidades en Latinoamérica.</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highlight w:val="yellow"/>
          <w:rtl w:val="0"/>
        </w:rPr>
        <w:t xml:space="preserve">BORRADOR:</w:t>
      </w:r>
      <w:r w:rsidDel="00000000" w:rsidR="00000000" w:rsidRPr="00000000">
        <w:rPr>
          <w:rFonts w:ascii="Arial" w:cs="Arial" w:eastAsia="Arial" w:hAnsi="Arial"/>
          <w:b w:val="1"/>
          <w:sz w:val="28"/>
          <w:szCs w:val="28"/>
          <w:rtl w:val="0"/>
        </w:rPr>
        <w:t xml:space="preserve"> Canguilhem, la medicina y los cuerpos de los varones cis. La producción de una sexualidad normal en la andropausia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Por Ana Mines Cuenya (IIGG/UBA)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objetivo de esta ponencia es reponer los aportes de Georges Canguilhem para pensar y analizar los modos en los que la medicina produce cuerpos en términos de normalidad. Voy a analizar esa producción, específicamente, en torno a la sexualidad de varones cis que atraviesan por lo que la medicina llama andropausia.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Utilizado por la medicina como sinónimo de fisiológico, lo normal opera simultáneamente como descripción y prescripción. Como veremos, la andropausia, categoría médica, nomina a una etapa caracterizada por el descenso de la disponibilidad de la testosterona en los cuerpos de varones cis. Este descenso atenta contra el funcionamiento activo de la sexualidad de estos varones, medido principalmente por su capacidad eréctil. Ante ello, lo que la medicina propone es la administración de testosterona con el fin de reintroducir en esos cuerpos la capacidad para desarrollar una actividad sexual normal y saludable.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objetivo principal de esta ponencia es trabajar la idea de norma, central en la obra de Canguilhem, en relación al abordaje que hace la sexología médica de los cuerpos y la sexualidad de los varones cis, en una etapa que esta especialidad médica llama andropausia. La ponencia se organiza en tres partes: en la primera, se reponen los aspectos de la propuesta de Canguilhem que, a mi entender, son relevantes para el análisis de las normas y la medicina. Tal como se verá, la sexología produce una normatividad corporal sexogenerizada. Para analizarlo con mayor detenimiento, en una segunda parte de la ponencia voy a problematizar la idea de normal corporal, asociada a la idea de bienestar, salud y rendimiento y, en una tercera parte, voy a trabajar con la idea del género como norma a la luz de este particular problema.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desarrollar lo aquí propuesto, analizo las entrevistas realizadas a 8 médicos y medicas sexólogos/as que se desempeñan en servicios públicos y privados de la Ciudad de Buenos Aires y las desgrabaciones de jornadas médicas formación en sexualidad.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capítulo parte y se articula desde algunos supuestos. El principal es que la sexología médica opera a partir de una serie de nociones naturalizadas en torno a la sexualidad y el cuerpo. Por un lado, si bien la sexología médica problematiza el hecho de que la sexualidad sea reducida y centrada en lo genital, sus propuestas terapéuticas apuntan a garantizar la realización del coito vaginal, es decir, vuelven sobre lo genital. Esto redunda en la naturalización de la cisheterosexualidad como dimensión productiva de los cuerpos.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la sexología médica asocia el ejercicio de una sexualidad activa a la salud, la felicidad y a lo que llama calidad de vida. En base a esto, esta especialidad asume que su función es velar por cuerpos saludables, o sea, cuerpos capaces de perpetuar el ejercicio de una sexualidad que reditúe en un disfrute pleno y vital (Costa, 2008). De esta manera, el ejercicio de una sexualidad activa se equipara a la idea de salud y ambas se configuran como imperativos (Han, 2012; Sfez, 2008)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Canguilhem y las normas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han mostrado los estudios sobre medicina realizados por Canguilhem (2004, 2011), la salud y la enfermedad no conforman estados naturales, dados a priori, rígidos e inmutables. Este autor afirma que las enfermedades son parte del proceso vital normal de los seres biológicos que tenemos estructuras orgánicas precarias, como los seres humanos. Enfermedad y salud no componen polos opuestos inconexos, por el contrario, son consustanciales. Canguilhem (2004) afirma que si bien las enfermedades, cuando cristalizan como tales, son procesos concretos e identificables, su modo de existencia y presentación es indisociable de las mutaciones producidas en el estatus epistemológico de la medicina. Asimismo, lo patológico es un estado que se configura en relación a cambios en las dimensiones culturales y sociales que redefinen qué es lo que entendemos por salud (Giroux, 2011). Siguiendo a Canguilhem (2004), es preciso señalar el carácter social, y por lo tanto político, del conocimiento y tratamiento de las enfermedades. La medicina es un quehacer de carácter normativo. Como afirma Macherey, “hablar de normatividad es, sin duda, mostrar de qué manera el movimiento concreto de las normas (…), elabora, a medida que se desarrolla, ese poder que produce, a la vez, en el plano de su forma y contenido” (2011, p. 152). O sea, dinámicamente, la medicina produce lo que trata y eso que trata da forma a la medicina.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numerosas investigaciones, el ejercicio clínico, concreto y situado de la medicina está sujeto a procesos biopolíticos de amplio alcance. A partir de la segunda mitad del siglo XX, en Occidente, el poder y el saber médico se han expandido de modo tal que el alcance de su campo de acción pone en duda la existencia de una exterioridad a los procesos de biomedicalización (Clarke et al., 2003; Conrad, 2008, Foucault, 2008). Según Clarke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la biomedicalización “remite al cada vez más complejo, multisituado y multidireccional proceso de medicalización que se extiende y reconstituye a través de la emergencia de formas y prácticas sociales de una biomedicina alta y crecientemente tecnocientífica (2003, p. 162). Este proceso ha producido transformaciones en los modos de entender la vida biológica, los cuerpos, las fronteras entre la naturaleza y la biotecnología (Esposito, 2011; Rose, 2012). Según Rose (2012), los polos de la salud y la enfermedad han perdido relevancia dando lugar a procesos que este autor llama de “la vida en sí”, es decir, procesos de control, administración, modificación, redefinición y modulación de las capacidades vitales. La nociones de salud y la enfermedad conviven tanto con procesos de optimización corporal, es decir, la búsqueda de mejoría en el funcionamiento corporal, como con la proliferación de la noción de riesgo y las estrategias de control, prevención y vigilancia médica. Los procesos recién señalados se relacionan también con la reconfiguración de los roles de los/as pacientes y de las instituciones médicas y con la emergencia de las corporaciones biotecnofarmacéuticas como actores gravitantes en los procesos descriptos (Foucault, 2008; Sfez, 2008; Sibilia, 2012).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normatividad del bienestar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términos generales, el desarrollo y consolidación de la Sexología clínica puede ser entendido como parte de un proceso más amplio de medicalización de la sexualidad, es decir, de una tendencia global caracterizada por el hecho de que algunas prácticas y estados sexuales son definidos como problemas médicos que necesitan ser resueltos mediante tratamientos (Conrad, 2008; Gogna, Jones, e Ibarlucía, 2013). Tomando los aportes de distintos/as autores/as (Clarke, et al., 2003; Foucault, 2008; Rose, 2007), sostengo que la medicalización de la sexualidad no consiste solamente en la intrusión de la medicina en esta dimensión de la vida, sino también, en la reconfiguración de la sexualidad y de los cuerpos. A su vez, las particularidades de la sexualidad como objeto terapéutico ponen a la Sexología médica frente al desafío del diseño e implementación de una estrategia terapéutica específica, híbrida, </w:t>
      </w:r>
      <w:r w:rsidDel="00000000" w:rsidR="00000000" w:rsidRPr="00000000">
        <w:rPr>
          <w:rFonts w:ascii="Arial" w:cs="Arial" w:eastAsia="Arial" w:hAnsi="Arial"/>
          <w:i w:val="1"/>
          <w:rtl w:val="0"/>
        </w:rPr>
        <w:t xml:space="preserve">sui generis.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masculinidad normal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campo de esta especialidad se modela, toma forma y se define también debido a las características de la demanda de sus pacientes: no termina en lo fisiopatológico, en las terapias farmacológicas ni en las llamadas disfunciones masculinas. Las terapias farmacológicas y los diagnósticos que se focalizan lo fisiopatológico conforman una parte fundamental de las respuestas terapéuticas que la Sexología médica ofrece a los hombres cis. No obstante, muchas veces ellos acceden al consultorio médico consumiendo por su propia cuenta medicamentos como el Viagra. O sea, los hombres cis prescinden de la consulta para utilizar medicamentos. Sostengo que lo que se ofrece en el consultorio conforma un plus que el mero acceso medicamento. Este plus está dado, por ejemplo, por los efectos de la confirmación de una “disfunción” como de una “sexualidad normal” como también por la terapia psico-sexual. Por otro lado, circunscribir la actividad de la Sexología médica a la indicación de fármacos oblitera parte lo que sucede en el abordaje clínico de las mujeres cis, mayormente psico-terapeútico.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hecho nos encontramos en la entrevista que nos hizo Adrián, eh, entonces, hay días que el consultorio es exclusivamente de trans, y hay días que está mezclado con medicina sexual, yo, el día que yo iba era… un poco y un poco, con lo cual, para mi... salía de ahí, pero con un estado de felicidad plena... porque era “un mundo de sensaciones” (RISAS)… era... era todos los días sacar 4 o 5 aprendizajes de vida, de decir “guau, esta es la verdad”, no lo que uno lee, viste, lo que estudiaste dos años, sino que... era la posibilidad de ver en vivo y en directo... desde una persona trans hasta una pareja de viejitos de 70 años que venían a consultar porque “ya no era lo de antes”… eh, hasta, no sé... como le contaba recién a mi novio, eh, un pibe que en un brote psicótico... como el que acaba de tener Matías Alé... se le apareció Cristo, le dijo que se la corte, y se la cortó… digamos. Eh, sumamente… “jugoso”, como decimos los médicos (Médica sexóloga)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desempeño sexual tiene un rol central, “ya sea como señal de salud, pero también como un modo de combatir los males de la vejez, esto es, al mismo tiempo en que una vida sexual activa y placentera puede prevenir el declive relacionado con la edad, su ausencia puede indicar la presencia de enfermedades o desequilibrios fisiológicos. Se vende, de este modo, la necesidad de la manutención de una vida sexual `plena´ en todas las edades” (Russo, 2013, p. 186). Funcionamiento y control del pene como parte de la demanda. También preguntan por el tamaño.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señala Russo (2013), la biomedicalización de la sexualidad masculina, “lo que acarreará transformaciones importantes en la propia definición de esa sexualidad” (Russo, 2013, p. 188).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señala de Lauretis (2011), la sexualidad compone una dimensión polimorfa muchas veces conflictiva con la vida social de las personas que no se agota en lo genital. La sexualidad también consiste en lo que la Sexología denomina parafilias adoptado por el DSM-III, es decir, los comportamientos perversos. en torno a la sexualidad, lo cual labra un campo conflictivo, ya que la sexualidad, de manera permanente, plantea desafíos inaprehensibles en esquemas predeterminados.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Entonces, bueno, tiene muchísimo que ver con el... con la plata y con la presión que eso hace sobre la pareja. Y, también con las creencias y con lo que han aprendido, ¿si? O sea, de golpe hay gente que tiene determinada disfunción y uno sabe que hay mucha gente que no consulta porque está habituada a que, o piensa que tiene que ser así. O sea, todavía hay mucha creencia de que es el varón el que maneja la situación en exclusiva, entonces el señor penetra y eyacula 3 segundos después, y... lo que pase con ella no tiene ninguna importancia y ella no se queja... Entonces, bueno, nunca viene a la consulta. Todo lo que es egosintónico… O sea que hace sintonía con uno, no es motivo de consulta. El. motivo de consulta es lo egodistónico, o sea, lo que está molestando, lo que no coincide con lo que yo necesito en mi ego, digamos... (Médica sexóloga)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deseo de los hombres no es un problema, en ellos es una cuestión de funcionalidad. El deseo para omnipresente. En el caso de las mujeres es la falta de deseo. Economía sexual del deseo.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 Y en el caso de las mujeres me decía que era falta de deseo y anorgasmia, las demandas más frecuentes... ¿en esos casos cuáles son las terapias de preferencia?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 Y primero hay que diagnosticar cuál es el problema, si es también con algún tipo en particular o si fue a partir de la maternidad, o de la menopausia, o de algo que pasó con la pareja, de conflicto de pareja, y en tal caso ver si es de deseo sexual hipoactivo primario, o sea, que nunca tuvo ganas, y que te dicen por ejemplo "yo lo hago para satisfacer a mi marido, pero si fuera por mi no lo haría nunca, si no me busca me hace un favor", dicen algunas... una paciente me dijo una vez, "yo deseo desear"... Y yo les digo que el deseo no se deja mandar, no es que vas a desear porque lo querés... y bueno, hay que ver toda la parte hormonal, y un estudio ginecológico de rutina y a veces test psicológicos, de autoevaluación que están en internet por ejemplo... (Médico sexólogo).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la mismo tiempo, el objeto de la sexología requiere de tiempo, intimidad, y de un ambiente propicio para funcionar. Qué es la sexualidad para la sexología médica? Se mezcla mucho la moral también. Podrá ser también un espacio para promover el agenciamiento? Lo que es del orden del deseo se escabulle más del abordaje médico. ¿Cómo opera la heterosexualidad en la sexología?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calidad de encuentro sexual que tiene, ¿si? O sea… Evitar el cuadro de sometedores y sometidos. Es simplemente disfrutar con algo que quiero hacer, y no someterme a nada que no quiero... ya logrando eso, uno hizo un montón. Un montón, porque hay muchísimo sometimiento. Hay muchísima creencia de que el varón tiene permisos que nosotras no podemos tener, y demás... Por eso, lo que uno tiene que hacer es blanquear cómo son las situaciones, y lograr re-pactar o re-contratar el vínculo, entre los dos consultantes, si fuese una pareja, por ejemplo. Yo les digo, “bueno, a ver, cuando uno alquila un departamento, hace un contrato por dos años, ¿no? con una cláusula de recesión a los 6 meses… Ustedes tienen 26 años de matrimonio y... se manejan con el mismo contrato, ¿por qué? O sea, ¿vos sos el mismo que hace 26 años atrás?... ¿o que hace 10...?" "No." "Y entonces ¿por qué no modificás?, ¿por qué no repactas?” Qué sé yo... Uno re-pacta los contratos… ¿Si? hasta hoy te pago las expensas ahora las va a pagar el otro. No sé. Hay miles de cosas que se pueden re-contratar… lo que yo hago todo el tiempo es re-contratar, o sea, que cuando son parejas re-contraten. Que uno le diga al otro lo que quiere… Siempre empezando la frase con “a mi me gustaría que”… (Médica sexóloga).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los relatos, los/as médicos/as deben justificar lo sexual como un campo específico dentro de la medicina, asimismo, deben ofrecer algo más que una receta médica. Y terapias psico. La definición de lo sexual como algo que compete a la medicina. Una disputa.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Algunas críticas al abordaje sexológico consisten en señalar que la Sexología promueve un abordaje esencialista, es decir, que “intenta explicar un proceso complejo y múltiple, como es el ejercicio de placer, basándose en una supuesta esencia o verdad interna, lo cual supone una sexualidad conformada a partir de esquemas únicos, básicos y uniformes” (Alcántara Zavala y Amuchástegui Herrera, 2009, p. 592).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biológico y lo social o lo psicológico: el sexólogo tiene dos tareas: educar y dar permiso. La gente no sabe nada de sexo. Roles de género y comunicación en la sexualidad. Explicar qué es un orgasmo médicamente hablando. Información en las manos de las pacientes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señala Gogna es posible detectar que las consultas sexológicas están atravesadas por las diferencias en las demandas mujeres y varones cis en relación al sexo (Gogna, 2005).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Reproducción de patrones heteronormativos. La erección es colocada en el centro de la relación sexual como un problema mecánico, aislada del resto del desarrollo del acto sexual (BOZON). Noción de rendimiento sexual como nocion que está por detrás.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Ansiedad, estrés, falta de deseo. Es lo más difícil de tratar. La terapia es un traje a medida. Todo lo que es egosintónico, o sea, que hace sintonía con uno, no es motivo de consulta. El motivo de consulta es lo egodistónico.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Ansiedad por rendimiento/anticipación al fracaso. “Tengo que satisfacerla”, “tengo que tener un orgasmo”. Cuando se pone la ansiedad delante del acto. Por voluntad no se para el pene. Por voluntad no se tiene un orgasmo ni deseo. La ansiedad es más de los varones. “Las mujeres fingen”.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Falta de deseo. La ausencia de deseo se encuentra patologizada </w:t>
      </w:r>
    </w:p>
    <w:p w:rsidR="00000000" w:rsidDel="00000000" w:rsidP="00000000" w:rsidRDefault="00000000" w:rsidRPr="00000000">
      <w:pPr>
        <w:spacing w:line="36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 Aja… Y, aquí, en el consultorio, ¿cuáles son las demandas más frecuentes? R: En este momento, el motivo de consulta, para mí más frecuente, en todos lados es el deseo sexual hipoactivo, la gente que tiene poco deseo... que tiene que ver con el estresazo digamos, ¿no?... y con que la energía y la libido está puesta en otra cosa, en ganar plata… Entonces... tiene más que ver con eso. Cuando yo empecé a hacer Sexología, hace tantos años la verdad que la disfunción del deseo no era un motivo de consulta demasiado frecuente, hoy es el que se lleva el mayor porcentaje. Eh, y es la más difícil de solucionar… es terrible.</w:t>
      </w:r>
    </w:p>
    <w:p w:rsidR="00000000" w:rsidDel="00000000" w:rsidP="00000000" w:rsidRDefault="00000000" w:rsidRPr="00000000">
      <w:pPr>
        <w:spacing w:line="360" w:lineRule="auto"/>
        <w:ind w:left="708"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360" w:lineRule="auto"/>
        <w:ind w:left="708"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 Aja, ¿tanto en varones como en mujeres…? R: Si. Lleno. Sobre todo en las mujeres y en mujeres más grandes, en la perimenopausia, menopausia y postmenopausia, baja muchísimo el deseo... además de que están casadas hace mil años y están re contra aburridas. También es cierto... o sea, hoy vivimos muchos años... entonces… bueno, a veces hay monogamias sucesivas como digo yo, ¿no? O sea… la gente se divorcia, se casa con otro, después se divorcia de nuevo… y... son tipo más, o sea, cuando son monógamos son monógamos sucesivos. Pero sino hay mucho, hay mucho consumo de parejas, de actividad extra matrimonial, cosa que yo nunca juzgo, o sea… cada uno es cada uno y cada cual es cada cual... (Médica sexóloga)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Condicionantes sociales. El estrés. Las relaciones extramatrimoniales. Mitos y creencias sobre la sexualidad. Asumir que una disfunción es normal, que debe ser así… muy interesante para pensar el doble estatus de la naturaleza. Si una hormona baja, la hormona del deseo, no es normal que baje? Es una disfunción o es lo normal? Es un ejemplo de cómo la disponibilidad de un tratamiento hace que el deseo sexual deba, normalmente ser algo que se tiene durante más años. </w:t>
      </w:r>
    </w:p>
    <w:p w:rsidR="00000000" w:rsidDel="00000000" w:rsidP="00000000" w:rsidRDefault="00000000" w:rsidRPr="00000000">
      <w:pPr>
        <w:spacing w:line="360" w:lineRule="auto"/>
        <w:ind w:left="708" w:firstLine="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 Si, ¿y cuáles son las terapias que se ofrecen después de hacer el diagnóstico? R: Se llaman terapias sexuales, son psicoterapias breves focalizadas, se centran el en síntoma, de solución del síntoma, no te vas a meter a hablar de la relación con la madre, de qué sueño tuvo anoche, del problema vocacional, el problema místico, es centrarte en la resolución del síntoma, o sea, el psicoanálisis dice lo contrario, que del síntoma no hay que hablar, eso ya quedó obsoleto P: ¿Y ahí también son ejercicios lo que se propone? R: Son tareas, ejercicios, juegos, si los hace bien, si no los hace también bien, porque muestra cuál es el impedimento, mujeres que no se han tocado nunca los genitales, que ni se los han mirado (Médico sexólogo).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falta de deseo muchas veces no tiene que ver con la sexualidad sino que tiene que ver con factores sociales o vinculares”.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1"/>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