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/Teoría Política "Horizontes y dilemas del pensamiento contemporáneo en el sur global"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Buenos Aires, 2 al 4 de agosto de 2017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Mesa 29:</w:t>
      </w:r>
      <w:r w:rsidDel="00000000" w:rsidR="00000000" w:rsidRPr="00000000">
        <w:rPr>
          <w:rFonts w:ascii="Arial" w:cs="Arial" w:eastAsia="Arial" w:hAnsi="Arial"/>
          <w:rtl w:val="0"/>
        </w:rPr>
        <w:t xml:space="preserve"> Debates teóricos y metodológicos en torno a la producción y regulación de los géneros y las sexualidades en Latinoamérica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Título de la ponencia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Cambios en las normas de género y en las subjetividades de mujeres de sectores populares con ocupaciones consideradas masculinas en la Ciudad de México. Una reflexión a partir de las intersecciones de género y clase</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Autoras: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Cristina Herrera, Programa Interdisciplinario de Estudios de la Mujer; Centro de Estudios Sociológicos; El Colegio de México (cherrera@colmex.mx)</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Carolina Agoff, Centro Regional de Investigaciones Multidisciplinarias; Universidad Nacional Autónoma de México (agoff@correo.crim.unam.mx)</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Resumen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ponencia presenta reflexiones conceptuales sobre la posibilidad de analizar rupturas y continuidades en las normas de género y en las subjetividades a partir de una investigación cualitativa realizada en la Ciudad de México con mujeres en ocupaciones consideradas masculinas. El estudio tiene como antecedente investigaciones previas que cuestionan el papel y significado del trabajo en la prevención de la violencia y de la observación de una tendencia en políticas públicas a incluir la capacitación de las mujeres en “oficios no tradicionales” (asociados con habilidades y disposiciones masculinas). En el estudio participaron 109 mujeres en distintos tipos de ocupaciones. La metodología se basó en diez grupos de discusión y 12 entrevistas narrativas, y utilizó un marco analítico que combinó una lectura crítica de la teoría bourdiana del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desde el feminismo y el enfoque de la interseccionalidad aplicado a una realidad latinoamericana. La idea fue poner a prueba la tesis bourdiana según la cual la posibilidad de ruptura con el “amor al destino social” implicado el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de género, ocurre en la medida en que disminuye la dependencia objetiva de las mujeres en la estructura de dominación, y analizar las articulaciones de clase y género presentes en estos cambios.</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la pregunta clave de los estudios feministas por las condiciones de posibilidad de una des-generización de las relaciones sociales (Lorber, 2008), en este trabajo se presenta una reflexión basada en resultados de un estudio cualitativo con mujeres que trabajan en ocupaciones tradicionalmente consideradas masculinas, en la Ciudad de México. Los antecedentes más inmediatos del estudio fueron investigaciones que mostraron que la entrada de mujeres al mercado de trabajo en México no se había traducido en mayor igualdad en las relaciones de género en la familia, excepto cuando ellas controlaban el dinero que ganaban, el trabajo era una fuente de identidad y la participación en el mismo era prolongada (García y Oliveira, 2006). Por su parte, distintos estudios sobre violencia de pareja no eran concluyentes sobre el papel del trabajo remunerado en la prevención de la violencia, aunque señalaban que esto podía depender del tipo y la calidad de trabajo (sector, lugar de trabajo, carácter formal o informal) así como del tiempo de participación en el mercado laboral (Casique, 2001; Rodríguez de Jesús, 2014). Finalmente, se habían comenzado a lanzar políticas y programas de empoderamiento económico que promovían la capacitación de las mujeres en “trabajos no tradicionales”, especialmente en oficios socialmente considerados masculinos. Todo ello generó la inquietud por explorar el potencial disruptivo de los </w:t>
      </w:r>
      <w:r w:rsidDel="00000000" w:rsidR="00000000" w:rsidRPr="00000000">
        <w:rPr>
          <w:rFonts w:ascii="Arial" w:cs="Arial" w:eastAsia="Arial" w:hAnsi="Arial"/>
          <w:i w:val="1"/>
          <w:rtl w:val="0"/>
        </w:rPr>
        <w:t xml:space="preserve">habitus </w:t>
      </w:r>
      <w:r w:rsidDel="00000000" w:rsidR="00000000" w:rsidRPr="00000000">
        <w:rPr>
          <w:rFonts w:ascii="Arial" w:cs="Arial" w:eastAsia="Arial" w:hAnsi="Arial"/>
          <w:rtl w:val="0"/>
        </w:rPr>
        <w:t xml:space="preserve">de género que esta entrada en espacios masculinizados podía significar para mujeres de sectores populares urbanos, especialmente lo que Bourdieu llamó las “disposiciones sumisas” y la valoración del matrimonio y la familia como el destino social más respetable para las mujeres.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con la hipótesis inicial según la cual el valor del trabajo como fuente de identidad y la entrada en espacios no asignados a las mujeres generaría rupturas en los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de género, se esperaba encontrar una mayor autonomía personal en aquellas que tuvieran ocupaciones masculinizadas, comparadas con quienes tuvieran ocupaciones feminizadas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y con las que no tuvieran trabajo remunerado. También se esperaba observar procesos de des-generización</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de algunas tareas reproductivas como el cuidado, el servicio y la provisión del hogar, así como cambios en el discurso sobre derechos y obligaciones hacia una demanda de igualdad en las relaciones de pareja y una mayor legitimidad de los tránsitos de las mujeres entre lo doméstico, lo privado y lo público. De confirmarse, todo ello podría ser parte de un proceso más amplio de transición de un modelo patriarcal clásico de familia a otro más cercano al “individualismo cooperativo” (Honneth en McNay, 2015) en el que los sujetos voluntariamente cooperan con los proyectos personales de los demás, en una relación de mutualismo. Sin embargo, otro de los supuestos era que restricciones de clase, género y etnia modificarían de distintas maneras esa posible transición a un modelo más individualizado, obligando a las mujeres a “negociar con el patriarcado” (Kandiyoti, 1988), ya sea defendiendo la </w:t>
      </w:r>
      <w:r w:rsidDel="00000000" w:rsidR="00000000" w:rsidRPr="00000000">
        <w:rPr>
          <w:rFonts w:ascii="Arial" w:cs="Arial" w:eastAsia="Arial" w:hAnsi="Arial"/>
          <w:i w:val="1"/>
          <w:rtl w:val="0"/>
        </w:rPr>
        <w:t xml:space="preserve">doxa</w:t>
      </w:r>
      <w:r w:rsidDel="00000000" w:rsidR="00000000" w:rsidRPr="00000000">
        <w:rPr>
          <w:rFonts w:ascii="Arial" w:cs="Arial" w:eastAsia="Arial" w:hAnsi="Arial"/>
          <w:rtl w:val="0"/>
        </w:rPr>
        <w:t xml:space="preserve"> o modificándola, de formas tanto estratégicas como pre-reflexivas e inconscientes.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se pretendió documentar continuidades y rupturas con los marcos de referencia morales, pragmáticos e históricos que afectan las expectativas sobre la pareja y la familia cuando la situación estructural se modifica en relación con generaciones anteriores (parejas de doble ingreso, mujeres en trabajos no tradicionales, cambios en el discurso social sobre lo femenino y lo masculino, etc.), bajo el supuesto de que estos cambios dependen de las posiciones relativas de poder de las mujeres y que se vuelven visibles ante la emergencia de conflictos sobre lo que se considera justo o satisfactorio en los intercambios familiares y de pareja, entre otros.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una perspectiva interseccional, se analizaron las articulaciones entre género y clase alrededor de la reproducción y cambio de normas, estereotipos e identidades de género en una muestra teórica conformada por mujeres de sectores populares en distintos tipos de ocupaciones: a)  masculinizadas informales (plomería, carpintería, electricidad, pintura, herrería, albañilería, reparación de electrodomésticos y computadoras, chofer, jardinería), b) masculinizadas formales (operarias de máquinas en fábricas o negocios como embobinado, cerrajería, horno, guillotina, pulido, reparación de máquinas, montacargas, mecánica, en seguridad, supervisión, manejo y mantenimiento de máquinas, chofer), c) feminizadas informales (venta por catálogo, servicios de belleza a domicilio, negocio familiar, costura, servicio doméstico) y d) feminizadas formales (limpieza, costura, planchado y cocina en organizaciones, empleadas de comercio y ventas). Como técnicas de producción de datos, se llevaron a cabo diez grupos de discusión: ocho con mujeres con trabajo remunerado y dos con mujeres dedicadas exclusivamente al hogar. En total participaron 109 mujeres. De los ocho grupos de mujeres con trabajo remunerado, dos estaban conformados por mujeres con trabajos feminizados formales, dos por mujeres con trabajos feminizados informales, dos con mujeres en trabajos masculinizados formales y dos con mujeres en trabajos masculinizados informales. En cada categoría, un grupo estaba conformado por mujeres entre 25 y 45 años (segmento que a grandes rasgos coincide con la crianza de los hijos) y el otro por mujeres entre 46 y 65 años. Además, se realizaron 12 entrevistas narrativas con mujeres elegidas en los grupos de trabajo masculinizado para profundizar en los aspectos biográficos asociados con motivos, procesos y trayectorias particulares y contrastar éstos con las nociones de sentido común y experiencias compartidas, que son el principal dato emergente en los grupos de discusión.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partió de la idea que el estudio de grupos específicos de mujeres, definidos en términos de sus particulares posiciones en distintos ejes de desigualdad, permite mostrar que es en la intersección entre clase, género, edad y condición laboral donde las nociones normalmente universalizadas como agencia, </w:t>
      </w:r>
      <w:r w:rsidDel="00000000" w:rsidR="00000000" w:rsidRPr="00000000">
        <w:rPr>
          <w:rFonts w:ascii="Arial" w:cs="Arial" w:eastAsia="Arial" w:hAnsi="Arial"/>
          <w:i w:val="1"/>
          <w:rtl w:val="0"/>
        </w:rPr>
        <w:t xml:space="preserve">habitus </w:t>
      </w:r>
      <w:r w:rsidDel="00000000" w:rsidR="00000000" w:rsidRPr="00000000">
        <w:rPr>
          <w:rFonts w:ascii="Arial" w:cs="Arial" w:eastAsia="Arial" w:hAnsi="Arial"/>
          <w:rtl w:val="0"/>
        </w:rPr>
        <w:t xml:space="preserve">o identidad de género adquieren significados particulares.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Marco analítico del estudio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dominación masculina” (2000), Pierre Bourdieu definió al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de género como aquellos principios prácticos que se transmiten “de cuerpo a cuerpo” desde la infancia y que implican que hombres y mujeres estén sometidos a un trabajo de diferenciación permanente de feminización o masculinización, bajo un sistema de dominación androcéntrico que atraviesa las épocas y las estructuras económicas. Esta permanencia y autonomía relativa de las estructuras sexuales (o modos de reproducción) respecto de las estructuras económicas (o modos de producción) se mantiene gracias a mecanismos estructurales e instituciones que aseguran la reproducción de la división sexual del trabajo (como la familia, la Iglesia, el Estado, la escuela y otros agentes, en distintas combinaciones) y también a las propias estrategias de los sujetos que, al buscar maximizar sus capitales siguiendo las reglas del juego dominantes en diversos campos, contribuyen a reproducir y perpetuar los sistemas de dominación que funcionan a través de esos campos.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ámbito de las estructuras de género, el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se traduce en un sistema de esquemas clasificatorios que oponen un principio activo (masculino) a un elemento pasivo (femenino), la fuerza moral y el dominio del cuerpo propio de los hombres a la naturaleza “pueril y necia” de las mujeres, las predisposiciones a la protección (masculina) versus a la atención (femenina) y el pensamiento abstracto contra el pensamiento práctico, entre muchos otros pares de opuestos que reproducen la división binaria masculino/femenino. Estos esquemas atraviesan los distintos campos y, al hacerlo, debe adaptarse a nuevas reglas, lo que en principio abriría la posibilidad de rupturas o deslizamientos de sentido en los propios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o “sentidos del juego”.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con Bourdieu (2000), la explicación de la dominación masculina es la exclusión de las mujeres del trabajo remunerado o bien su situación laboral cuando logran acceder a él. En estos casos, su inclusión se caracteriza, entre otras reglas, por la prolongación de las funciones domésticas y la prohibición de ejercer autoridad sobre los hombres, así como de manipular máquinas y objetos técnicos. Es por ello que cuando los hombres se ven obligados a hacer trabajos “femeninos” o a aceptar la entrada de mujeres a “sus” espacios, sienten amenazada su singularidad, su posición social y su identidad sexual, lo que provoca reacciones bastante documentadas de acoso y hostigamiento, descalificación, exclusión y violencia hacia las mujeres, así como variantes paternalistas de ese intento por neutralizar el poder de las mujeres en espacios que según la norma no deben ocupar, y menos disputar. Por su parte, las mujeres deben resistir esas reacciones de distinta manera, o bien abandonar tales espacios.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Bourdieu, la economía de los bienes simbólicos, ámbito primordial de las mujeres, se sustrae a la de los bienes materiales, basada en el interés y el cálculo. Al ocuparse de incrementar capitales como el prestigio y la moral familiar, la economía de los bienes simbólicos se coloca del lado del aparentar, del gustar, de convertirse a sí misma, a la casa, y a los otros miembros de la familia en objetos estéticos. Esta parte del trabajo reproductivo que realizan las mujeres, también se traslada a la empresa, donde ocupan puestos de recepcionistas, encargadas de los rituales de cohesión, etc., todos con apariencia de gratuidad. Este “amor al destino” se traduce en disposiciones sumisas en diferentes campos y de acuerdo con algunas corrientes del feminismo radical, en la “erotización de la dominación” (Kennedy 2016).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es para Bourdieu una encarnación de las estructuras sociales y tiende a reproducirlas de modo estratégico, pero predominantemente pre-reflexivo, lo cual, como ya fue advertido por otros autores (Lovell 2000), constituye una aparente contradicción entre un sujeto que maximiza capitales al estilo del agente racional y otro que reproduce estructuras, de manera inconsciente. Una respuesta bourdiana al señalamiento de esta aparente contradicción es la idea de que existe una </w:t>
      </w:r>
      <w:r w:rsidDel="00000000" w:rsidR="00000000" w:rsidRPr="00000000">
        <w:rPr>
          <w:rFonts w:ascii="Arial" w:cs="Arial" w:eastAsia="Arial" w:hAnsi="Arial"/>
          <w:i w:val="1"/>
          <w:rtl w:val="0"/>
        </w:rPr>
        <w:t xml:space="preserve">razón práctica</w:t>
      </w:r>
      <w:r w:rsidDel="00000000" w:rsidR="00000000" w:rsidRPr="00000000">
        <w:rPr>
          <w:rFonts w:ascii="Arial" w:cs="Arial" w:eastAsia="Arial" w:hAnsi="Arial"/>
          <w:rtl w:val="0"/>
        </w:rPr>
        <w:t xml:space="preserve"> que orienta la acción, aunque no siga la lógica de la reflexividad consciente o del cálculo del interés. El propio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se adquiere a través de una interacción en la que prima la aceptación pre-reflexiva de la dominación (violencia simbólica). Sin embargo, no es algo que esté en la naturaleza, aunque tome tal apariencia. La tarea del sociólogo, de acuerdo con Bourdieu, es precisamente desnaturalizar o re-historizar esos mecanismos de dominación aparentemente naturales e invariantes y mostrar su carácter de construcción social. Pero también los actores están en posibilidad de cuestionar la </w:t>
      </w:r>
      <w:r w:rsidDel="00000000" w:rsidR="00000000" w:rsidRPr="00000000">
        <w:rPr>
          <w:rFonts w:ascii="Arial" w:cs="Arial" w:eastAsia="Arial" w:hAnsi="Arial"/>
          <w:i w:val="1"/>
          <w:rtl w:val="0"/>
        </w:rPr>
        <w:t xml:space="preserve">doxa</w:t>
      </w:r>
      <w:r w:rsidDel="00000000" w:rsidR="00000000" w:rsidRPr="00000000">
        <w:rPr>
          <w:rFonts w:ascii="Arial" w:cs="Arial" w:eastAsia="Arial" w:hAnsi="Arial"/>
          <w:rtl w:val="0"/>
        </w:rPr>
        <w:t xml:space="preserve">  en la vida rutinaria, cuando se producen rupturas entre sus disposiciones habituales y las reglas de un campo determinado. Así, pese al énfasis de Bourdieu en los aspectos reproductivistas más que en los disruptivos de la acción rutinaria, son estos últimos los que explican la existencia de cambios y desplazamientos en las formas que asume la dominación masculina. Esto no solo lleva a cuestionar el carácter aparentemente invariante de dicha dominación y la estabilidad de las normas que produce, sino también a reconocer que en el propio </w:t>
      </w:r>
      <w:r w:rsidDel="00000000" w:rsidR="00000000" w:rsidRPr="00000000">
        <w:rPr>
          <w:rFonts w:ascii="Arial" w:cs="Arial" w:eastAsia="Arial" w:hAnsi="Arial"/>
          <w:i w:val="1"/>
          <w:rtl w:val="0"/>
        </w:rPr>
        <w:t xml:space="preserve">habitus </w:t>
      </w:r>
      <w:r w:rsidDel="00000000" w:rsidR="00000000" w:rsidRPr="00000000">
        <w:rPr>
          <w:rFonts w:ascii="Arial" w:cs="Arial" w:eastAsia="Arial" w:hAnsi="Arial"/>
          <w:rtl w:val="0"/>
        </w:rPr>
        <w:t xml:space="preserve">hay un potencial disruptivo. Bourdieu reconoció esta posibilidad, pero le adjudicó un carácter más excepcional que habitual, dando como ejemplo situaciones en las que las mujeres acceden a espacios antes considerados masculinos, como el trabajo profesional (2000). Hoy en día este hecho se ha extendido, perdiendo en buena medida su carácter excepcional.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Lovell (2000) señaló que al pensar en las mujeres más en su papel de reproductoras del capital simbólico familiar que como agentes que también acumulan capitales, Bourdieu no enfatizó suficientemente la posibilidad de cambio en el propio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derivado de este doble papel. Como reproductoras del capital simbólico familiar las mujeres pueden estar interesadas en mantener el orden patriarcal que garantiza su propia subsistencia y la de sus hijos, pero como agentes que acumulan capitales en otros campos, pueden seguir lógicas incluso opuestas a esa misma reproducción. En algunas circunstancias puede ser racional (o estar en el interés práctico de una mujer) quedarse en su lugar o desconocer la dominación. Pero incluso esto puede hacerse de distintas formas: adhiriendo al sistema de normas o produciendo cambios en ellas. En otras circunstancias, un desajuste entre las posiciones sociales y las disposiciones del </w:t>
      </w:r>
      <w:r w:rsidDel="00000000" w:rsidR="00000000" w:rsidRPr="00000000">
        <w:rPr>
          <w:rFonts w:ascii="Arial" w:cs="Arial" w:eastAsia="Arial" w:hAnsi="Arial"/>
          <w:i w:val="1"/>
          <w:rtl w:val="0"/>
        </w:rPr>
        <w:t xml:space="preserve">habitus </w:t>
      </w:r>
      <w:r w:rsidDel="00000000" w:rsidR="00000000" w:rsidRPr="00000000">
        <w:rPr>
          <w:rFonts w:ascii="Arial" w:cs="Arial" w:eastAsia="Arial" w:hAnsi="Arial"/>
          <w:rtl w:val="0"/>
        </w:rPr>
        <w:t xml:space="preserve">en un campo determinado pueden llevar a procesos reflexivos que produzcan cambios y rupturas en el mismo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propone Butler (2016), en un argumento que no se opone a esa idea pero que parte de una preocupación más fuerte por las condiciones de posibilidad de ruptura con las normas, es el carácter inestable de éstas lo que hace que el género sea fluido y necesite ser performado para convertirse en una realidad. “Hacer género”, describe las prácticas y procesos que dan forma a la manera en que las organizaciones funcionan y las personas se relacionan. Pero es en el mismo acto en el que el género es performado donde aparece la posibilidad de desestabilizarlo, cambiando sus sentidos. El género es la estilización repetida del cuerpo dentro de un marco regulador muy estricto que se inmoviliza con el tiempo para crear la apariencia de sustancia y de “ontologías contingentes” (Butler, 2016). Sin embargo, el precepto de ser un género produce necesariamente fracasos, porque opera mediante “rutas discursivas” como la de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ser buena madre, ser un objeto heterosexualmente deseable, ser un trabajador capacitado, etc. (Burgos, 2012). Esto implica también cuestionar la idea de que existe un patriarcado o un sistema de dominación masculina universal y ahistórico. Por el contrario, existen regímenes de género cambiantes, dependiendo del contexto histórico social y por lo tanto formas diversas en las que hombres y mujeres con diferentes posiciones de sujeto, son afectados y negocian con ellos (Kandiyoti, 1988).</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con esta idea, la categoría de </w:t>
      </w:r>
      <w:r w:rsidDel="00000000" w:rsidR="00000000" w:rsidRPr="00000000">
        <w:rPr>
          <w:rFonts w:ascii="Arial" w:cs="Arial" w:eastAsia="Arial" w:hAnsi="Arial"/>
          <w:i w:val="1"/>
          <w:rtl w:val="0"/>
        </w:rPr>
        <w:t xml:space="preserve">lo abyecto</w:t>
      </w:r>
      <w:r w:rsidDel="00000000" w:rsidR="00000000" w:rsidRPr="00000000">
        <w:rPr>
          <w:rFonts w:ascii="Arial" w:cs="Arial" w:eastAsia="Arial" w:hAnsi="Arial"/>
          <w:rtl w:val="0"/>
        </w:rPr>
        <w:t xml:space="preserve">, como “exterior constitutivo” del género reconocible por las normas (Butler, 2016) tampoco es universal. Pero, así como depende de contextos culturales y de posiciones de sujeto en distintos ejes de discriminación, también depende de las reglas de cada campo y de los capitales que funcionan en ellos y que los sujetos utilizan para mejorar sus condiciones de vida, de manera consciente o práctica. Como ha argumentado Lovell (2000), las teorías de Bourdieu y de Butler pueden combinarse de forma productiva en el estudio de los mecanismos e interacciones donde el género es producido y también cuestionado, sin subsumir el género en la clase social, riesgo en el que incurre Bourdieu, ni la clase en el género, que parece ser el énfasis de Butler, aunque ella misma haya reconocido que la posibilidad de romper con las normas depende de posiciones de clase, raza, etnia y sexualidad, entre otras.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necesario considerar a las mujeres no solamente como objetos de intercambio o de reproducción del capital simbólico familiar sino también como sujetos que maximizan sus capitales en distintos campos. Para Skeggs (2001) el género es un capital cultural, en su forma de “disposiciones duraderas de la mente y el cuerpo”, pero funciona de forma diferente en los distintos campos para mujeres y hombres posicionados de forma diversa en las jerarquías de clase, etnia, edad o sexualidad. Las normas de la femineidad y la masculinidad dominantes difieren y pueden aumentar o disminuir esos capitales dependiendo de cómo los sujetos los performen con el fin de obtener reconocimiento en distintos campos. El género como este tipo de capital cultural se observa en la forma de utilizar el cuerpo, no solo como sede de las emociones y disposiciones a asumir un destino social sino también como signo, lo cual abre la posibilidad de disputas por su significado. La femineidad es entonces un capital cultural de clase, que se utiliza de diferentes maneras dependiendo del campo, impidiendo a veces distinguir el uso que otros hacen del cuerpo de la mujer como objeto, del que ella misma hace como sujeto que maximiza sus capitales. Un ejemplo de esto es la manera de performar una femineidad respetable para mujeres de clase baja, que tienen fuertes incentivos para invertir en sus cuerpos como cuerpos (hetero)sexuales (Skeggs, 2001), al no contar con formas más directas de acceso a posiciones de poder (Kennedy, 2016). Es necesario entonces analizar al cuerpo y la producción de sí en un marco de restricciones y posibilidades de ruptura. Kennedy plantea que las formas de presentarse, moverse y vestirse, están dentro de un marco de dominación masculina donde hay siempre un abuso sexual potencial, pero en un juego que no puede clasificarse de forma unívoca como correcto o incorrecto. Para este autor, no siempre la “erotización de la dominación es abominable”, mortífera o incluso erradicable. Depende del marco de tolerancia y penalización del abuso y éstos del campo, de las intenciones y de la vulnerabilidad diferenciada. Los estudios culturales (Illouz, 2007) también han mostrado de forma convincente que una práctica determinada no puede catalogarse de antemano como emancipadora u opresiva. Normalmente es las dos cosas a la vez. Así, una misma acción puede ser reproductora y rupturista a la vez, dependiendo de su significado (Lovell 2000). Por ejemplo, el trabajo de la mujer puede verse como ayuda al otro, como forma de autonomía, como acumulación de capitales, etc. y la producción estética de sí como búsqueda de seducción o de buena apariencia para el mercado laboral, fuente de autoestima o estrategia para conservar a la pareja.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En la investigación social el enfoque de género desde una perspectiva interseccional, se propone estudiar las desigualdades sistémicas de género en su intersección con otras desigualdades en un contexto particular, donde éstas pueden ser tan importantes o más que las de género. Desde esta perspectiva, el género no es una identidad sino una </w:t>
      </w:r>
      <w:r w:rsidDel="00000000" w:rsidR="00000000" w:rsidRPr="00000000">
        <w:rPr>
          <w:rFonts w:ascii="Arial" w:cs="Arial" w:eastAsia="Arial" w:hAnsi="Arial"/>
          <w:i w:val="1"/>
          <w:rtl w:val="0"/>
        </w:rPr>
        <w:t xml:space="preserve">posición</w:t>
      </w:r>
      <w:r w:rsidDel="00000000" w:rsidR="00000000" w:rsidRPr="00000000">
        <w:rPr>
          <w:rFonts w:ascii="Arial" w:cs="Arial" w:eastAsia="Arial" w:hAnsi="Arial"/>
          <w:rtl w:val="0"/>
        </w:rPr>
        <w:t xml:space="preserve"> en un sistema complejo de estratificación. Este enfoque, que se inició con los feminismos de color y los post-coloniales, resultó útil para cuestionar la visión de sujeto femenino en que se basaron tanto las corrientes feministas liberales como las culturalistas, al criticar la idea de sujeto autónomo, voluntarista, consciente, coherente y universal en las primeras, y la del sujeto con identidades múltiples pero capaces de sustentar una política de la identidad, en las segundas. Sabsay (2012) ha planteado que ambos parecen converger hoy en la ilusión neoliberal de un agente autónomo y autogestionado, que elige sus identidades y “tolera” las de los demás. Para esta autora y para muchas otras (Fraser 2013, Evans 2003, Skeggs 2010, Lovell 2000, McNay 2015), la crítica feminista debe dirigirse tanto al sujeto de la emancipación basado en ideales liberales modernos universales, como a este sujeto posmoderno reificado, supuestamente líquido pero atrapado en las demandas del mercado y en una “inflación de lo personal” (Sabsay 2012).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quizás contra las consecuencias atomizantes de esta idea gubernamental de sujeto -y no contra las libertades en sí- que muchas mujeres defienden posturas que, desde un punto de vista normativo, podrían tacharse de “conservadoras”. Mahmood (2005) por ejemplo cuestionó el carácter “emancipador” del sujeto butleriano (según ella un sujeto que desea romper con las normas), y a partir de sus estudios con mujeres musulmanas abogó por una idea situada de agencia, que toma la forma de la resistencia y puede incluir desde el autodisciplinamiento estratégico del cuerpo y las emociones, hasta el deseo de orden. Este deseo, sin embargo, es la construcción de un sistema social que obliga a poner en práctica estrategias para reducir la vulnerabilidad y que incluso puede erotizar la dominación, desde la pareja hasta las relaciones laborales. De acuerdo con las feministas radicales, las mujeres aceptan un acuerdo desigual según el cual pueden exigir la protección de un hombre contra otros hombres siempre y cuando sean (o parezcan ser) mujeres “de verdad” es decir heterosexuales, monógamas, sumisas, maternales y sexualmente complacientes con su hombre, y quienes lo logran, tienen su propio interés en la permanencia del régimen (Kennedy, 2016). Sin embargo, para este autor, aunque no se pueda dudar de la existencia de tal sistema, la postura radical presenta el problema de que parte de una idea esencialista de la identidad y de los intereses de las mujeres y de los hombres. La principal evidencia en contra de esta uniformidad es que existen estrategias de resistencia, compromiso y oportunismo para negociar con el régimen, en vez de aceptarlo sin reservas. Esto coincide con el argumento de Butler según el cual los sujetos quieren ser reconocidos como merecedores de una vida vivible tal como la definan, algo que no es posible fuera del propio sistema de normas pero que implica su cuestionamiento al mismo tiempo que su reproducción.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efecto, dentro de las corrientes deconstructivistas y </w:t>
      </w:r>
      <w:r w:rsidDel="00000000" w:rsidR="00000000" w:rsidRPr="00000000">
        <w:rPr>
          <w:rFonts w:ascii="Arial" w:cs="Arial" w:eastAsia="Arial" w:hAnsi="Arial"/>
          <w:i w:val="1"/>
          <w:rtl w:val="0"/>
        </w:rPr>
        <w:t xml:space="preserve">queer,</w:t>
      </w:r>
      <w:r w:rsidDel="00000000" w:rsidR="00000000" w:rsidRPr="00000000">
        <w:rPr>
          <w:rFonts w:ascii="Arial" w:cs="Arial" w:eastAsia="Arial" w:hAnsi="Arial"/>
          <w:rtl w:val="0"/>
        </w:rPr>
        <w:t xml:space="preserve"> la propuesta de Butler ha resultado clave para desmantelar tanto las visiones esencialistas de la identidad femenina como las universalistas basadas en el sujeto de la emancipación, al llamar la atención sobre la contingencia de las normas de género, pero al mismo tiempo sobre la imposibilidad de pensarse y actuar fuera de ellas, debido en parte al carácter inconsciente en que estas operan en los sujetos. Pero al mismo tiempo, su idea de performatividad dentro de normas inestables y contingentes, así como la de un sujeto de género indeterminado, permite ejercer la misma vigilancia epistemológica sobre las propias categorías del análisis interseccional y evitar que se conviertan en nuevas identidades oprimidas a partir de la intersección de ejes de discriminación claros y distintos (Sabsay, 2012) por ejemplo la mujer negra, lesbiana, de clase baja, la mujer musulmana, la mujer indígena, etc. Al analizar </w:t>
      </w:r>
      <w:r w:rsidDel="00000000" w:rsidR="00000000" w:rsidRPr="00000000">
        <w:rPr>
          <w:rFonts w:ascii="Arial" w:cs="Arial" w:eastAsia="Arial" w:hAnsi="Arial"/>
          <w:i w:val="1"/>
          <w:rtl w:val="0"/>
        </w:rPr>
        <w:t xml:space="preserve">procesos</w:t>
      </w:r>
      <w:r w:rsidDel="00000000" w:rsidR="00000000" w:rsidRPr="00000000">
        <w:rPr>
          <w:rFonts w:ascii="Arial" w:cs="Arial" w:eastAsia="Arial" w:hAnsi="Arial"/>
          <w:rtl w:val="0"/>
        </w:rPr>
        <w:t xml:space="preserve"> dentro de estructuras (Lorber, 2011) e intentar no imponer valores occidentales al análisis de los datos, el enfoque interseccional permite, por ejemplo, comprender las luchas y deseos de las mujeres sin etiquetarlos de antemano como deseos de emancipación, aliados de la mercantilización, o bien de protección social (Fraser, 2013), así como tampoco deseos de reconocimiento de identidades fijas. Es en el plano de la estrategia política feminista donde Fraser (2013) también ha llamado la atención sobre el riesgo de reducir una lógica económica (como la que subyace a las reivindicaciones de clase) a una cultural (como la que anima las luchas por el reconocimiento de género y raza, entre otros) y viceversa, argumentando que las luchas contra la dominación masculina en algunos momentos pueden apoyar estrategias para obtener libertades (como la de participar en el mercado y en la esfera pública), en otros impulsar estrategias para asegurar la protección y la seguridad social, y en la mayoría de los casos, las dos al mismo tiempo, en movimientos que producen cambios en los regímenes patriarcales, sin pretender eliminarlos de una vez y para siempre.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necesario entonces preguntar a las mujeres de distintos contextos qué desean para su vida o la de sus hijas y no dar por sentadas categorías o identidades cerradas. Los sujetos son entramados de posiciones asumidas, producto de negociaciones inestables en distintos ejes de discriminación, lo que obliga a reconocer identidades múltiples y dilemas de estatus, por ejemplo, entre víctimas y empoderadas, madres, trabajadoras y consumidoras, mujeres con desventajas y ventajas en distintas áreas y con distintas formas de manipularlas. El enfoque interseccional como forma de vigilancia epistemológica, así como la idea de performatividad, evitan asumir un punto de vista predeterminado por pertenecer a alguna “categoría” definida como la de ser, mujer, gay, negra, o cualquier combinación.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comprender </w:t>
      </w:r>
      <w:r w:rsidDel="00000000" w:rsidR="00000000" w:rsidRPr="00000000">
        <w:rPr>
          <w:rFonts w:ascii="Arial" w:cs="Arial" w:eastAsia="Arial" w:hAnsi="Arial"/>
          <w:i w:val="1"/>
          <w:rtl w:val="0"/>
        </w:rPr>
        <w:t xml:space="preserve">cambios</w:t>
      </w:r>
      <w:r w:rsidDel="00000000" w:rsidR="00000000" w:rsidRPr="00000000">
        <w:rPr>
          <w:rFonts w:ascii="Arial" w:cs="Arial" w:eastAsia="Arial" w:hAnsi="Arial"/>
          <w:rtl w:val="0"/>
        </w:rPr>
        <w:t xml:space="preserve"> en las relaciones de género hay que analizar las transformaciones de los mecanismos y las instituciones encargadas de perpetuar el orden, porque éstos actúan conjuntamente sobre las estructuras inconscientes, especialmente la familia. Asimismo, es en la interacción donde es posible observar procesos de des-generización aunque sigan existiendo diferencias estructurales (Deutsch 2007). Por ello este estudio se centró en las posiciones de las mujeres en la esfera familiar a partir de su participación en el mercado laboral.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Aunque tengan cierta autonomía relativa, entre las normas que rigen el campo de la familia y el del mundo público laboral hay una lógica común: la de la división sexual del trabajo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(Wainerman, 2007). Como se verá más adelante, los cambios y rupturas con esta lógica se observan en los conflictos alrededor de los derechos y obligaciones</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que se relacionan con normas e identidades de género, especialmente los vinculados con la manutención, la distribución de recursos, el reparto de tareas domésticas y de cuidado y las libertades personales. Estos conflictos revelan cambios en las nociones de lo justo en distintas áreas: 1. en el cuestionamiento de habilidades y emociones propias de cada género</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(disposición permanente a la maternidad, amor, entrega gozosa, abnegación, renuncia al cálculo de intereses, deslegitimación de deseos y necesidades personales); 2. cuando cambian las fuentes de reconocimiento de las mujeres</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(maternidad, decencia y honorabilidad vs. profesión, éxito individual, poder económico); y 3. en el cuestionamiento del carácter natural de lo masculino y lo femenino en el ámbito sexo-afectivo</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(libertad vs. control de la sexualidad, ideas de honor, decencia, doble moral),  cuando se pone en tela de juicio el “qué dirán”, lo que se evidencia por ejemplo en la pérdida de poder de las suegras como transmisoras del código de honor masculino.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campo de las responsabilidades familiares, Hochschild encontró que el grado de </w:t>
      </w:r>
      <w:r w:rsidDel="00000000" w:rsidR="00000000" w:rsidRPr="00000000">
        <w:rPr>
          <w:rFonts w:ascii="Arial" w:cs="Arial" w:eastAsia="Arial" w:hAnsi="Arial"/>
          <w:i w:val="1"/>
          <w:rtl w:val="0"/>
        </w:rPr>
        <w:t xml:space="preserve">coincidencia</w:t>
      </w:r>
      <w:r w:rsidDel="00000000" w:rsidR="00000000" w:rsidRPr="00000000">
        <w:rPr>
          <w:rFonts w:ascii="Arial" w:cs="Arial" w:eastAsia="Arial" w:hAnsi="Arial"/>
          <w:rtl w:val="0"/>
        </w:rPr>
        <w:t xml:space="preserve"> entre la ideología de género de la mujer y del marido y el </w:t>
      </w:r>
      <w:r w:rsidDel="00000000" w:rsidR="00000000" w:rsidRPr="00000000">
        <w:rPr>
          <w:rFonts w:ascii="Arial" w:cs="Arial" w:eastAsia="Arial" w:hAnsi="Arial"/>
          <w:i w:val="1"/>
          <w:rtl w:val="0"/>
        </w:rPr>
        <w:t xml:space="preserve">balance en su economía de la gratitud</w:t>
      </w:r>
      <w:r w:rsidDel="00000000" w:rsidR="00000000" w:rsidRPr="00000000">
        <w:rPr>
          <w:rFonts w:ascii="Arial" w:cs="Arial" w:eastAsia="Arial" w:hAnsi="Arial"/>
          <w:rtl w:val="0"/>
        </w:rPr>
        <w:t xml:space="preserve">, predecían el bienestar y la felicidad percibida en una pareja, por sobre cualquier otra consideración (Garey &amp; Hansen, 2011). Esta economía de la gratitud tiene tres fuentes: a) las ideas del honor, que derivan de un </w:t>
      </w:r>
      <w:r w:rsidDel="00000000" w:rsidR="00000000" w:rsidRPr="00000000">
        <w:rPr>
          <w:rFonts w:ascii="Arial" w:cs="Arial" w:eastAsia="Arial" w:hAnsi="Arial"/>
          <w:i w:val="1"/>
          <w:rtl w:val="0"/>
        </w:rPr>
        <w:t xml:space="preserve">marco moral de referencia</w:t>
      </w:r>
      <w:r w:rsidDel="00000000" w:rsidR="00000000" w:rsidRPr="00000000">
        <w:rPr>
          <w:rFonts w:ascii="Arial" w:cs="Arial" w:eastAsia="Arial" w:hAnsi="Arial"/>
          <w:rtl w:val="0"/>
        </w:rPr>
        <w:t xml:space="preserve"> (¿qué tan afortunada soy en el marco de lo que culturalmente debería esperar?), b) las ideas sobre la realidad desde un </w:t>
      </w:r>
      <w:r w:rsidDel="00000000" w:rsidR="00000000" w:rsidRPr="00000000">
        <w:rPr>
          <w:rFonts w:ascii="Arial" w:cs="Arial" w:eastAsia="Arial" w:hAnsi="Arial"/>
          <w:i w:val="1"/>
          <w:rtl w:val="0"/>
        </w:rPr>
        <w:t xml:space="preserve">marco pragmático de referencia</w:t>
      </w:r>
      <w:r w:rsidDel="00000000" w:rsidR="00000000" w:rsidRPr="00000000">
        <w:rPr>
          <w:rFonts w:ascii="Arial" w:cs="Arial" w:eastAsia="Arial" w:hAnsi="Arial"/>
          <w:rtl w:val="0"/>
        </w:rPr>
        <w:t xml:space="preserve"> (¿qué tan afortunada soy en relación con lo que hay disponible para mí?) y c) un </w:t>
      </w:r>
      <w:r w:rsidDel="00000000" w:rsidR="00000000" w:rsidRPr="00000000">
        <w:rPr>
          <w:rFonts w:ascii="Arial" w:cs="Arial" w:eastAsia="Arial" w:hAnsi="Arial"/>
          <w:i w:val="1"/>
          <w:rtl w:val="0"/>
        </w:rPr>
        <w:t xml:space="preserve">marco histórico de referencia</w:t>
      </w:r>
      <w:r w:rsidDel="00000000" w:rsidR="00000000" w:rsidRPr="00000000">
        <w:rPr>
          <w:rFonts w:ascii="Arial" w:cs="Arial" w:eastAsia="Arial" w:hAnsi="Arial"/>
          <w:rtl w:val="0"/>
        </w:rPr>
        <w:t xml:space="preserve"> (¿qué tan afortunada soy en comparación con mujeres similares a mí en la generación anterior?). De acuerdo con esta postura, los individuos agradecen lo que consideran un regalo “extra”, es decir lo que excede a las expectativas que dan por sentadas. Los conflictos en las relaciones aparecen cuando las dos partes tienen distintos parámetros de acción, e ideas diferentes sobre lo que es un regalo y lo que es una obligación, basadas en marcos morales de referencia distintos. Así, lo que en un momento dado o bajo ciertos marcos de referencia puede ser objeto de gratitud, en otros puede convertirse en una obligación y, su ausencia, generar sentimientos de injusticia.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Resultados: lo que quieren las mujeres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análisis de los datos producidos en los grupos de discusión permitió identificar los campos de conflicto más importantes en los que se pone de manifiesto una tensión entre marcos de referencia diferentes, que suponen un cierto cuestionamiento de las normas de género aprendidas. El primero es el campo de los conflictos relacionados con la provisión del hogar. En este campo, la discusión grupal mostró una oposición entre el modelo tradicional de proveedor/cuidadora y otro más equitativo, basado en iguales derechos, obligaciones y libertades personales. La mayoría de las mujeres estaba a favor de una versión flexibilizada del modelo tradicional, en el que el hombre es el responsable de la manutención y la mujer “colabora” con dinero para gustos y gastos extra y es la responsable del hogar, aunque aporte tanto o más dinero que la pareja. Ya no están sujetas al control de sus maridos y pueden hacer frente a violencia o la escasez, pero constantemente tratan de sostener un equilibrio de poder que evite la “desobligación” del marido como proveedor. Para ellas, demasiada independencia económica implica el riesgo de que los maridos “se aprovechen”.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incertidumbre del mercado laboral, la precariedad de los salarios y la imposibilidad de sostener el hogar con un solo ingreso cuando existen dependientes, lleva a mantener este equilibrio, junto con la convicción de que los hombres abandonan sus obligaciones cuando alguien las asume por ellos, por culpa de la educación machista que recibieron de sus madres. En siete de los diez grupos hubo un fuerte consenso en la idea de que tener un ingreso propio supera las desventajas del trabajo fuera del hogar (excepto los grupos con trabajo feminizado formal y las amas de casa jóvenes). La gran mayoría enfrentó resistencia de la pareja a su decisión de trabajar, por temor a la infidelidad, a perder el control y a ser socialmente señalado como un “mal proveedor”. Con el tiempo, sin embargo, las mujeres lograron “reeducar” a sus parejas con mayor o menor éxito y ellos empezaron a valorar el beneficio del doble ingreso, al mismo tiempo que comprobaban la “buena conducta” de ellas, que no se involucraban con otros hombres en el trabajo.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segundo campo de conflicto es el que se relaciona con la división del trabajo dentro y fuera del hogar. En este campo, el eje del conflicto es la sobrecarga de las mujeres producto de un desigual reparto de tareas domésticas y de cuidado, aunque ambos cónyuges aporten ingresos. En todos los grupos, las mujeres comentaron que eran ellas las principales responsables de las tareas del hogar y quienes hacían la mayor parte de estas tareas. En general sus parejas “ayudaban” con las actividades que eran de su agrado (supervisar las tareas asignadas a los hijos, jugar con ellos, cocinar de vez en cuando) y en los momentos de ocio, aburrimiento o cuando “estaban de buenas”. Algunas mujeres agradecían esto como un “regalo”, mientras que otras lo vivían como una injusticia por aportar dinero al hogar y no recibir a cambio los servicios que ellas ofrecían a la familia, especialmente las mujeres que tenían trabajos masculinizados.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asalariadas de ambos grupos resentían las limitaciones de un horario largo y rígido, pero solo las que tenían trabajo feminizado señalaron que dejarían de trabajar si pudieran, al no contar con un reparto más equitativo de tareas, arreglo que les resultaba extenuante, pero que no cuestionaban. Las mujeres con trabajos masculinizados habían logrado mejores arreglos y expresaban más críticas al modelo tradicional, argumentando que “los hombres se tienen que modernizar”. Las mujeres con trabajos informales valoraron más la posibilidad de ganar un ingreso sin descuidar a la familia, y enfatizaron más la idea de que su ingreso era un “extra” que no ponía en cuestión el papel de proveedor del marido, con excepción de las mujeres en oficios masculinizados.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mayoría de las mujeres en trabajos feminizados y las amas de casa estaban convencidas que el modelo de proveedor/cuidadora era su realidad; las que tenían trabajos masculinizados lo mantenían de forma estratégica, para evitar el riesgo de “tener que mantener al marido”. También fueron ellas las que más valoraron el trabajo, por la satisfacción y la sensación de logro que les proporcionaba, a diferencia de las demás, que enfatizaban solo sus beneficios materiales.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suma, quienes valoraban su trabajo tanto o más que a su familia, se atrevían a hacer más reclamos de justicia. Quienes tenían trabajos que les permitían conciliar ambos papeles aceptaban de mejor grado el arreglo desigual. Quienes tenían trabajos que solo consideraban una “ayuda” a la pareja y horarios rígidos, sufrían la sobrecarga, pero no confrontaban a la pareja. Casi todas reconocían la inequidad en el reparto de tareas domésticas, pero, ante un futuro incierto, no se sentían en condiciones de hacer reclamos abiertos de “injusticia” para no perder cierta solidaridad de pareja, manteniendo al mismo tiempo el trabajo propio.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tercer campo de conflicto se relaciona con el dilema interno entre la independencia de las mujeres y su necesidad de reciprocidad y solidaridad conyugal. En la discusión grupal se observó una tensión entre el deseo de libertad individual y la obligación sentida del servicio a la familia y a la pareja. Todas las mujeres deseaban que sus hijas no repitieran su propia historia de unión temprana por embarazo, ya que éste obliga a unirse con hombres que pueden resultar “machistas”, violentos o “desobligados”. El consenso en todos los grupos fue que ya no existen garantías de manutención a través de un matrimonio formal, y menos en una unión consensuada. La unión libre, sin embargo, es preferible ante el riesgo de tener que aguantar “para toda la vida” a una pareja violenta o irresponsable, frente a la mayor legitimidad que tiene actualmente el divorcio. Todas opinaban que la mujer debe tener una carrera o al menos un trabajo que le permita elegir mejor a la pareja y garantizar cierta reciprocidad, basada en el afecto. Sin embargo, hablaban del riesgo de una “excesiva preparación” que puede volver a las mujeres exigentes y potencialmente solas. Las mujeres con trabajo feminizado y las amas de casa, valoraron un poco más el matrimonio religioso como garantía de perdurabilidad, y se mostraron más favorables a “aguantar” e implementar estrategias de resistencia ante situaciones de inequidad, para “llevar la fiesta en paz”.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cuarto campo de conflicto se relaciona con las normas de género en la pareja y en la sexualidad. En este campo también se observó en general un desplazamiento de significados de muchas prácticas e interacciones, sin que esto implicara necesariamente una ruptura con las normas dominantes. Por ejemplo, muchas mujeres suscribían una idea menos naturalizada de cierta “ética del cuidado”, al señalar que ésta era aprendida y no innata. La maternidad seguía siendo vista casi como un destino para las mujeres, pero el ideal que imaginaban para el futuro de sus hijas era la posibilidad de elegir las condiciones para ejercerla. Aunque en su mayoría rechazaban el aborto, mostraban actitudes tolerantes hacia quienes lo practicaban. La sexualidad no heterosexual fue una posibilidad que algunas se cuestionaron y otras respetaban, aunque aún era vista como amenaza a un orden normativo que les seguía dando sentido.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Casi todas las mujeres con trabajos masculinizados expresaron que el trabajo en estos ambientes las había obligado a volverse “rudas”, al tener que resistir el acoso, el hostigamiento o la descalificación laboral. Esto las había obligado a ser mejores que los hombres en el trabajo, lo que redundaba en una sensación de seguridad y orgullo por el logro obtenido. Descubrieron que no se trataba de fuerza sino de “maña” y que podían ser mejores que ellos aun en “su” terreno. Volverse “rudas” las hizo descubrir que el poder de los hombres dependía de la sumisión de las mujeres, lo cual, reconocían, estaba cambiando. Para algunas de estas mujeres, la elección de trabajos masculinos se debía a una mezcla de motivación de los padres y de gustos personales. Hubo quienes comentaron que los juegos de niñas en la infancia les resultaban aburridos, porque no implicaban acción ni movimiento, y hasta se cuestionaron su identidad de género porque los compañeros las llamaban “machorras”. Estas mujeres asociaban el gusto por jugar con muñecas en la infancia y por ver telenovelas en la adultez con una femineidad “tradicional” que dispone a las mujeres a la pasividad: ser temerosas, depender del esposo. Ellas, por el contrario, se consideraban “liberales” por tener un espíritu emprendedor.</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Otras reflexionaron sobre modelos de mujer “sexy” como la que “sabe de mecánica”, aludiendo a algunas imágenes de la cultura popular que muestran a mujeres en posiciones sexuales vestidas de overol, pero se cuestionaron a quién iba dirigida esa “performance”. Como una de ellas reflexionó, aprender un oficio solo para agradarle a un cierto sector de hombres, podía resultar “machista”. Esta reflexión muestra cierto cambio en los estereotipos y normas de género, al reconocer que a algunos hombres puede gustarles una mujer que sabe mecánica (no pierden femineidad por tener oficios masculinos) pero al mismo tiempo empezar a cuestionar la “objetificación” de la mujer.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todo, aunque manifestaron no estar “en contra de los hombres” sino solo de los “patanes” (violentos, irresponsables), dudaban que existieran muchos hombres en su generación dispuestos a tener familias más igualitarias como las que ellas deseaban, es decir donde se compartieran gastos, tareas y responsabilidades. Esperaban, en cambio, –aunque también con dudas-, que sus hijas pudieran alcanzar este ideal. Para lograrlo, debían encontrar mejores parejas gracias a los estudios y a una mejor preparación, que a través de una mayor autonomía las protegiera del “enamoramiento” y del embarazo tempranos. No obstante, un ideal que se alejara demasiado del modelo del amor romántico, basado en la lealtad, la entrega, la exclusividad sexual, la perdurabilidad y el cuidado de los otros, podía volver a la mujer “mandona”, exigente y potencialmente sola.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suma, se observó en casi todas las mujeres una autoconcepción como sujetos autónomos con necesidades propias y deseos de una actividad placentera, contra el modelo del sufrimiento que les inculcaron sus madres. Podría decirse que existe un proceso de des-generización de las tareas, emociones y disposiciones femeninas y masculinas en el ámbito de la familia y en el trabajo, y resistencias contra “lo obligatorio” que se traduce en el control de sus maridos y su falta de cooperación en las tareas domésticas y de cuidado. Casi todas valoraban la responsabilidad compartida y los acuerdos conyugales, y ninguna vivía en el momento violencia física o sexual de la pareja. Sin embargo, también se puso de manifiesto un gran esfuerzo de las mujeres por no perder algunas certidumbres del modelo tradicional, en un contexto de precariedad. Sus expresiones al respecto pueden resumirse más o menos así: si “el de la lana (dinero)” es él, hay que “hacerle creer que manda”; si es ella, tiene que disimular su poder o ejercer la cuota justa para no ser humillada, pero tampoco volverse autoritaria ni demasiado exigente, ante el riesgo de quedarse sola.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Predominaba la convicción de que “ahora” los hombres no querían tener obligaciones, lo que revela una mezcla de añoranza del modelo tradicional con estrategias de reducción de riesgos y valoración del modelo igualitario, posible solo si ambos tienen carrera o ingresos. Para ellas, no es un papel el que garantiza el compromiso sino el amor. Pero hablaban de un ideal de amor democrático, basado en la reciprocidad y en la cooperación entre sujetos iguales con intereses propios, del que dudaban, tanto de su existencia como incluso de su deseabilidad. La defensa del modelo más tradicional se traducía en numerosos testimonios de satisfacción por ser una “madre pollo”, que depende de quienes la necesitan para sentirse valiosa e infantiliza a la pareja, a quien sirve sin que lo necesite, a pesar de la sobrecarga de trabajo que implica la doble jornada. Todas criticaban a las mujeres que detentan poder (típicamente las suegras), pero hablaban de sus maridos como niños a quienes había que reeducar.</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Aparecieron nuevas representaciones y estereotipos de género que parecen variantes de las antiguas: del lado de las mujeres que se salen de la norma, la mujer exitosa, pero “cabrona”, la zorra, “coscolina” o roba maridos, la “machorra” (marimacha) que algunas reivindican para sí y otras intentan disimular, la bruja (hacia potenciales nueras); del lado de la “verdadera mujer” la madre, la compañera, la víctima. En el caso de los hombres se observa un desplazamiento curioso del estereotipo del “macho mexicano”: de hombre fuerte a hijo mantenido, “conchudo” o “atenido” (mezcla de flojo y cínico, que quiere que lo mantengan pero que no se note), el hombre reeducable y el vulnerable. Los hombres ideales son buenos compañeros, pero no abundan. Estas figuras, que coexisten en el sentido común de la mayoría, muestran una aparente paradoja entre querer la solidaridad y el amor conyugal que implica un modelo de amor romántico y al mismo tiempo libertad para no depender de ningún “güey”. Creen que se puede salir adelante sin un hombre, pero que es mejor tenerlo. Les perdonan las infidelidades siempre y cuando ellas sean las elegidas, pero no aceptan que tengan hijos con otras mujeres, ante el riesgo de dejar de ser las dueñas de la “casa grande”. En cuanto a la sexualidad hay una ambivalencia entre el viejo modelo de la pasividad sexual de las mujeres y la necesidad de ser atractivas para evitar que las dejen por otras. En los grupos de mujeres con trabajos masculinizados, especialmente, se habló de que ambos miembros de la pareja podían ser infieles, pero que para las mujeres resultaba más difícil por el “qué dirán” y por el riesgo de “meterse con uno peor”.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resultados preliminares del estudio permiten observar que las mujeres flexibilizan sus identidades y negocian normas y valores morales alrededor de la pareja, la familia, la maternidad y la sexualidad, a partir de contar con cierta autonomía económica y algunas con habilidades normalmente asociadas con el poder (manejar máquinas, herramientas y materiales peligrosos, usar la fuerza física, tener subordinados en el trabajo, ganar más dinero que la pareja, etc.). Especialmente las que se desempeñan en trabajos socialmente considerados masculinos, aunque no exclusivamente ellas, desnaturalizan la maternidad y la disposición al cuidado y al servicio de los otros, cuestionan la justeza de “acuerdos” basados en supuestas capacidades naturales (como la díada cuidadora-proveedor), ponen en duda el ideal del amor romántico y de los supuestos beneficios de la protección de un hombre y defienden los derechos de las mujeres a una mayor libertad personal, incluida la sexual y reproductiva. Al mismo tiempo, sin embargo, reproducen discursos de género basados en la heteronorma, aunque no siempre de forma pre-reflexiva sino a veces estratégica, como cuando señalan que deben cuidarse de no herir los sentimientos de virilidad de sus parejas masculinas para evitar que se vuelvan agresivos o desmotivados, o de no mostrar demasiada independencia ante el riesgo de perder la certidumbres económicas y sociales que da la familia en contextos de precariedad laboral y económica.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Reflexiones finales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¿Cómo interpretar los deseos de las mujeres de mantener el modelo de proveedor-cuidadora al mismo tiempo que defienden la autonomía, la independencia y la autoridad que les da el dinero propio? Desde una visión normativa se podría caer en la tentación de clasificar las posiciones de las mujeres como liberales, conservadoras, tradicionales o progresistas, pero una mirada más atenta permite observar una mayor complejidad en el deseo de seguir trabajando para no perder la independencia y los recursos que da el trabajo, y al mismo tiempo conservar la fuente de identidad y estima que da la dedicación al cuidado de la familia, especialmente para enfrentar el entorno consumista, violento y precario que amenaza a sus hijos, de quienes se sienten principales responsables. Las mujeres desean ser independientes de sus parejas, pero no quedarse solas frente a este desafío. Las de mayor edad se sienten menos sobrecargadas de tareas de cuidado infantil, pero igualmente agobiadas por los riesgos a los que se exponen los jóvenes en las zonas donde viven, ante las escasas oportunidades laborales y educativas y la amenaza del crimen organizado que les ofrece formas más rápidas de conseguir dinero y bienes de consumo. Todas las mujeres participantes empezaron a trabajar de forma remunerada por necesidad, ante la ausencia de la pareja, el desempleo de ésta, o la caída de sus ingresos, pero con el tiempo fueron valorando las ventajas del ingreso e incluso del propio trabajo como fuente de realización personal. En el momento del estudio prácticamente todas declararon que no dejarían de trabajar, aunque les ofrecieran mantenerlas, con la excepción de quienes tenían horarios demasiado largos o rígidos, niños pequeños y parejas muy “machistas”. Es decir, entraron a un campo anteriormente considerado masculino y se fueron apropiando de él, no sin costos personales. En el transcurso, enfrentaron situaciones que las llevaron a cuestionar el carácter supuestamente natural de algunas habilidades y disposiciones “femeninas” como el cuidado de los otros, la maternidad, la docilidad para soportar violencia o escasez, y otras supuestamente masculinas como la fuerza, la protección y la provisión del hogar. En los cambios observados en la idea de lo justo y de lo que se considera un regalo que hay que agradecer y no una responsabilidad, es posible identificar elementos de una des-generización de las relaciones familiares y de pareja. Sin embargo, esto no equivale a la adhesión a un modelo “igualitario” y quizás tampoco “transicional” en la medida en que la mayoría de las mujeres cuestionaron el individualismo y el modelo de la mujer exitosa y empoderada, que asociaban con la soledad y la ausencia de solidaridad. Esto quedó en evidencia al analizar sus posturas frente al “feminismo”, al que en general entendían como una lucha por el poder de las mujeres sobre los hombres y del que temían que rompiera con un orden que aún les daba seguridad, ante la falta de garantías de subsistencia que podría darles un orden más igualitario.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ha señalado Kandiyoti (1988), cuando la estructura económica cambia, las formas del patriarcado también lo hacen y con ellas los recursos que tienen los sujetos para negociar con él, pasando de formas más veladas de resistencia (como la manipulación de esposos e hijos varones, manteniendo el sistema), a estrategias de mayor independencia relativa. Los cambios materiales socavan el orden normativo al erosionar la base material de la autoridad masculina. Con la liberalización del patriarcado clásico (que podemos identificar como prevalente hasta hace unas décadas en México), los hijos ya no están bajo el mando del padre, las mujeres ya no son protegidas por sus parejas, las jóvenes ya no viven con sus suegras y resisten la transición, ante las pocas opciones de empoderamiento que se les presentan. Algunas, o en algunos momentos, exigen protección a cambio de sumisión y tratan de retener al marido mediante la performatividad de la femineidad tradicional. Otras, o en otros momentos, optan por reclamar igualdad de ingresos y de oportunidades al estado y al mercado laboral.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con Fraser (2013), las luchas de las mujeres deben analizarse en el marco de las crisis del capitalismo. La autora argumenta que, en la era post-industrial emergen formas de conciencia post-feminista que combinan actitudes despolitizadas hacia el trabajo y la familia, con estrategias personales para aumentar la estabilidad y la intimidad en el matrimonio. Lovell (2000) añade que estas estrategias difieren por clase social, y que, para las mujeres de clase baja, la inversión en un matrimonio respetable puede ser la única posible ante la ausencia de formas más directas de obtener poder. Touraine (2007), en cambio, plantea que las mujeres contemporáneas no están interesadas en el feminismo porque en sí constituyen un movimiento cultural que reivindica una auto-creación de sí centrada en la sexualidad, más que en la acción social o política. El autor opone explícitamente esta idea a la de dominación masculina desarrollada por Bourdieu, que no considera la capacidad de agencia de las mujeres, quienes se oponen tanto a una definición esencialista de sí mismas como a su objetificación por el mercado.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actitudes “antifeministas” que encontramos en las mujeres podrían analizarse desde cualquiera de las dos posturas: como parte de la reproducción del sistema o como agencia, bajo la forma de una añoranza conservadora de la “solidaridad” conyugal ante el retroceso de la política feminista, o bien de una búsqueda del “individualismo cooperativo” en la familia y en la pareja. Sin embargo, es más productivo entenderla desde la interseccionalidad y la performatividad del género, que necesariamente implican un contexto determinado de normas, difíciles de romper de manera voluntarista. No es posible desconocer que las maneras de negociar y resistir de las mujeres dan forma a sus decisiones racionales, pero también a los aspectos más inconscientes de la subjetividad, que permean el contexto de la socialización temprana y del mundo adulto. Lo anterior puede verse en la ambivalencia que manifestaron las mujeres sobre la forma de socializar a sus hijas: para la igualdad y la independencia, pero también para el matrimonio y la maternidad, lo que muestra que las ideas compartidas y las prácticas pueden funcionar estableciendo las reglas de lo normal en un momento, pero que son vulnerables al cambio cuando las anomalías se convierten en la nueva norma (el hombre ya no puede proveer).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señalan varias autoras, el cambio rápido genera formas de conciencia que no pueden analizarse en términos polares como emancipación vs. subordinación. Para muchas mujeres el antifeminismo puede ser estratégico, más que reaccionario. El derecho al aborto (separar la sexualidad de la maternidad) puede reducir la presión sobre los hombres para hacerse responsables de los embarazos ante falta de alternativas de apoyo. El feminismo se convierte así en chivo expiatorio, culpable de haber llevado las cosas “demasiado lejos” al promover el deseo de las mujeres de entrar al mundo de los hombres que es competitivo y egoísta, en vez de promover una ética del cuidado y la cooperación.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¿Qué tanto los cambios producidos por esta combinación de crisis económicas con nuevos discursos feministas generan rupturas con los regímenes de género particulares o formas de patriarcado? Se podría suscribir la idea de Bourdieu según la cual cambian las condiciones de la dominación, pero no las posiciones relativas. Esto se reflejaría en fenómenos persistentes como la segregación laboral, el techo de cristal, la devaluación de profesiones donde predominan mujeres, el esfuerzo constante para satisfacer exigencias suplementarias y expulsar toda connotación sexual de su </w:t>
      </w:r>
      <w:r w:rsidDel="00000000" w:rsidR="00000000" w:rsidRPr="00000000">
        <w:rPr>
          <w:rFonts w:ascii="Arial" w:cs="Arial" w:eastAsia="Arial" w:hAnsi="Arial"/>
          <w:i w:val="1"/>
          <w:rtl w:val="0"/>
        </w:rPr>
        <w:t xml:space="preserve">hexis</w:t>
      </w:r>
      <w:r w:rsidDel="00000000" w:rsidR="00000000" w:rsidRPr="00000000">
        <w:rPr>
          <w:rFonts w:ascii="Arial" w:cs="Arial" w:eastAsia="Arial" w:hAnsi="Arial"/>
          <w:rtl w:val="0"/>
        </w:rPr>
        <w:t xml:space="preserve"> corporal e indumentaria como estrategias para resistir acoso, la desvalorización y la descalificación en el trabajo. También en el precio que muchas mujeres en puestos ejecutivos deben pagar por ejercer autoridad sobre los hombres, a través de fracasos en la vida familiar o de la aceptación de éxitos parciales o papeles secundarios, por la presión de lo doméstico. Sin embargo, en los mismos procesos en que se hace género (por ejemplo, cuando las mujeres se “masculinizan”) también se lo “deshace”, al crear formas “híbridas” de encarnar ciertos papeles (Deutsch, 2007).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pesar de que la inercia del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y del derecho tienden a perpetuar el modelo dominante de familia heteronormativa y patriarcal, se observan factores de cambio que se deben a la acción y la crítica del movimiento feminista, que según el propio Bourdieu (2000) obligó al sistema a defenderse o a justificarse. La aparición de nuevos tipos de familia y el divorcio, rompieron la </w:t>
      </w:r>
      <w:r w:rsidDel="00000000" w:rsidR="00000000" w:rsidRPr="00000000">
        <w:rPr>
          <w:rFonts w:ascii="Arial" w:cs="Arial" w:eastAsia="Arial" w:hAnsi="Arial"/>
          <w:i w:val="1"/>
          <w:rtl w:val="0"/>
        </w:rPr>
        <w:t xml:space="preserve">doxa</w:t>
      </w:r>
      <w:r w:rsidDel="00000000" w:rsidR="00000000" w:rsidRPr="00000000">
        <w:rPr>
          <w:rFonts w:ascii="Arial" w:cs="Arial" w:eastAsia="Arial" w:hAnsi="Arial"/>
          <w:rtl w:val="0"/>
        </w:rPr>
        <w:t xml:space="preserve"> sobre la sexualidad. La escolaridad de las mujeres y el acceso al mercado laboral cuestionaron la división sexual del trabajo. Al mismo tiempo, como señala Skeggs (2010), el capitalismo ha invadido cada vez más áreas de la vida incluyendo la esfera íntima, volviéndola cuantificable, racionalizable y controlable. Así el “trabajo emocional” y la sexualidad son objeto de inversión, consumo, normalización científica, regulación moral, cálculo, administración y medición del desempeño. Los vehículos de este discurso -que las mujeres participantes del estudio consumían en buena medida-, son los manuales de crianza y de sexualidad “sana” contra el desorden y el riesgo, los </w:t>
      </w:r>
      <w:r w:rsidDel="00000000" w:rsidR="00000000" w:rsidRPr="00000000">
        <w:rPr>
          <w:rFonts w:ascii="Arial" w:cs="Arial" w:eastAsia="Arial" w:hAnsi="Arial"/>
          <w:i w:val="1"/>
          <w:rtl w:val="0"/>
        </w:rPr>
        <w:t xml:space="preserve">reality shows</w:t>
      </w:r>
      <w:r w:rsidDel="00000000" w:rsidR="00000000" w:rsidRPr="00000000">
        <w:rPr>
          <w:rFonts w:ascii="Arial" w:cs="Arial" w:eastAsia="Arial" w:hAnsi="Arial"/>
          <w:rtl w:val="0"/>
        </w:rPr>
        <w:t xml:space="preserve">, las revistas para mujeres o las redes sociales, que presentan la posibilidad de tener una vida mejor como un asunto de trabajo, oportunidades y elección que dependen de la voluntad de la persona de invertir en sí misma. Pero se siguen viendo bajo el marco de referencia de la moral, especialmente la intimidad, donde es más difícil combinar emociones y cálculo.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reglas de un campo (la pareja, la familia, el trabajo) no pueden entenderse fuera de las reglas más amplias de distintos tipos de patriarcado, y éstas están en relación con las reglas de la producción y reproducción social (propiedad, mercados). Oprimen y dan sentido al mismo tiempo. La crisis de una forma de patriarcado implica luchas personales y políticas que son complejas y contradictorias: una acción puede ser reproductora y rupturista a la vez (Lovell, 2000). Ante la incertidumbre que producen los cambios actuales existen repertorios discursivos que apuestan por el pasado (como echarle la culpa al feminismo), o legitiman los movimientos hacia mayores libertades, como los discursos de autoayuda, que si bien resultan funcionales al sujeto de la “gubernamentalidad” también alivian las tensiones de la vida cotidiana y dan legitimidad a pequeños ejercicios de libertad.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Queda por saber si estas son “estrategias de subordinadas” para adaptarse mejor a un sistema que se sigue viendo como natural o inamovible en vez de romper con él, o por el contrario es la elección de un modelo más proclive a la des-generización y la universalización de una ética del cuidado, contra la idea de sujeto que propone el mundo competitivo y atomizado del mercado. Mientras las mujeres ganen dominio sobre las cosas, pero no sobre las personas -requisito para la democratización de las relaciones de género según Giddens (2012)-, y mientras se mantenga la desigualdad de género y de clase, constitutivas de la familia como institución generizada, el “individualismo cooperativo” en la familia, aunque deseado por muchas, resulta utópico.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Referencias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Pierre (2000) “Permanencias y cambios” En: </w:t>
      </w:r>
      <w:r w:rsidDel="00000000" w:rsidR="00000000" w:rsidRPr="00000000">
        <w:rPr>
          <w:rFonts w:ascii="Arial" w:cs="Arial" w:eastAsia="Arial" w:hAnsi="Arial"/>
          <w:i w:val="1"/>
          <w:rtl w:val="0"/>
        </w:rPr>
        <w:t xml:space="preserve">La dominación masculina</w:t>
      </w:r>
      <w:r w:rsidDel="00000000" w:rsidR="00000000" w:rsidRPr="00000000">
        <w:rPr>
          <w:rFonts w:ascii="Arial" w:cs="Arial" w:eastAsia="Arial" w:hAnsi="Arial"/>
          <w:rtl w:val="0"/>
        </w:rPr>
        <w:t xml:space="preserve">. Anagrama, Barcelona.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Burgos, Elvira (2012) “Deconstrucción y subversión”. En: Soley-Beltrán Patricia y Leticia Sabsay: </w:t>
      </w:r>
      <w:r w:rsidDel="00000000" w:rsidR="00000000" w:rsidRPr="00000000">
        <w:rPr>
          <w:rFonts w:ascii="Arial" w:cs="Arial" w:eastAsia="Arial" w:hAnsi="Arial"/>
          <w:i w:val="1"/>
          <w:rtl w:val="0"/>
        </w:rPr>
        <w:t xml:space="preserve">Judith Butler en Disputa. Lecturas sobre la Performatividad</w:t>
      </w:r>
      <w:r w:rsidDel="00000000" w:rsidR="00000000" w:rsidRPr="00000000">
        <w:rPr>
          <w:rFonts w:ascii="Arial" w:cs="Arial" w:eastAsia="Arial" w:hAnsi="Arial"/>
          <w:rtl w:val="0"/>
        </w:rPr>
        <w:t xml:space="preserve">. Egales, Barcelona.</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Butler, Judith (2016) </w:t>
      </w:r>
      <w:r w:rsidDel="00000000" w:rsidR="00000000" w:rsidRPr="00000000">
        <w:rPr>
          <w:rFonts w:ascii="Arial" w:cs="Arial" w:eastAsia="Arial" w:hAnsi="Arial"/>
          <w:i w:val="1"/>
          <w:rtl w:val="0"/>
        </w:rPr>
        <w:t xml:space="preserve">El género en disputa. El feminismo y la subversión de la identidad.</w:t>
      </w:r>
      <w:r w:rsidDel="00000000" w:rsidR="00000000" w:rsidRPr="00000000">
        <w:rPr>
          <w:rFonts w:ascii="Arial" w:cs="Arial" w:eastAsia="Arial" w:hAnsi="Arial"/>
          <w:rtl w:val="0"/>
        </w:rPr>
        <w:t xml:space="preserve"> Barcelona, Paidós.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Casique Irene (2001). “Power, Autonomy and Division of Labor in Mexican Dual-earner Families. Lanham, NY, Oxford U. Press of America.</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Deutsch, Francine (2007) “Undoing gender”. En: </w:t>
      </w:r>
      <w:r w:rsidDel="00000000" w:rsidR="00000000" w:rsidRPr="00000000">
        <w:rPr>
          <w:rFonts w:ascii="Arial" w:cs="Arial" w:eastAsia="Arial" w:hAnsi="Arial"/>
          <w:i w:val="1"/>
          <w:rtl w:val="0"/>
        </w:rPr>
        <w:t xml:space="preserve">Gender &amp; Society</w:t>
      </w:r>
      <w:r w:rsidDel="00000000" w:rsidR="00000000" w:rsidRPr="00000000">
        <w:rPr>
          <w:rFonts w:ascii="Arial" w:cs="Arial" w:eastAsia="Arial" w:hAnsi="Arial"/>
          <w:rtl w:val="0"/>
        </w:rPr>
        <w:t xml:space="preserve">, vol. 21, n°1, Feb. 2007, pp. 106-127.</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Ehrenreich, Barbara (1983) </w:t>
      </w:r>
      <w:r w:rsidDel="00000000" w:rsidR="00000000" w:rsidRPr="00000000">
        <w:rPr>
          <w:rFonts w:ascii="Arial" w:cs="Arial" w:eastAsia="Arial" w:hAnsi="Arial"/>
          <w:i w:val="1"/>
          <w:rtl w:val="0"/>
        </w:rPr>
        <w:t xml:space="preserve">The Hearts of Men</w:t>
      </w:r>
      <w:r w:rsidDel="00000000" w:rsidR="00000000" w:rsidRPr="00000000">
        <w:rPr>
          <w:rFonts w:ascii="Arial" w:cs="Arial" w:eastAsia="Arial" w:hAnsi="Arial"/>
          <w:rtl w:val="0"/>
        </w:rPr>
        <w:t xml:space="preserve">. London Pluto Press.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Evans, Mary (2003) </w:t>
      </w:r>
      <w:r w:rsidDel="00000000" w:rsidR="00000000" w:rsidRPr="00000000">
        <w:rPr>
          <w:rFonts w:ascii="Arial" w:cs="Arial" w:eastAsia="Arial" w:hAnsi="Arial"/>
          <w:i w:val="1"/>
          <w:rtl w:val="0"/>
        </w:rPr>
        <w:t xml:space="preserve">Gender and Social Theory</w:t>
      </w:r>
      <w:r w:rsidDel="00000000" w:rsidR="00000000" w:rsidRPr="00000000">
        <w:rPr>
          <w:rFonts w:ascii="Arial" w:cs="Arial" w:eastAsia="Arial" w:hAnsi="Arial"/>
          <w:rtl w:val="0"/>
        </w:rPr>
        <w:t xml:space="preserve">. Open University Press. Buckingham and Philadelphia.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Fraser, Nancy (2013) “Between marketization and social protection: Resolving the feminist ambivalence”. En: Fraser Nancy, </w:t>
      </w:r>
      <w:r w:rsidDel="00000000" w:rsidR="00000000" w:rsidRPr="00000000">
        <w:rPr>
          <w:rFonts w:ascii="Arial" w:cs="Arial" w:eastAsia="Arial" w:hAnsi="Arial"/>
          <w:i w:val="1"/>
          <w:rtl w:val="0"/>
        </w:rPr>
        <w:t xml:space="preserve">Fortunes of Feminism. From State-Managed Capitalism to Neoliberal Crisis.</w:t>
      </w:r>
      <w:r w:rsidDel="00000000" w:rsidR="00000000" w:rsidRPr="00000000">
        <w:rPr>
          <w:rFonts w:ascii="Arial" w:cs="Arial" w:eastAsia="Arial" w:hAnsi="Arial"/>
          <w:rtl w:val="0"/>
        </w:rPr>
        <w:t xml:space="preserve"> Verso. London and New York.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García, Brígida y Orlandina de Oliveira (2006). Las familias en el México metropolitano: visiones femeninas y masculinas. El Colegio de México.</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Giddens, Anthony (2012). </w:t>
      </w:r>
      <w:r w:rsidDel="00000000" w:rsidR="00000000" w:rsidRPr="00000000">
        <w:rPr>
          <w:rFonts w:ascii="Arial" w:cs="Arial" w:eastAsia="Arial" w:hAnsi="Arial"/>
          <w:i w:val="1"/>
          <w:rtl w:val="0"/>
        </w:rPr>
        <w:t xml:space="preserve">La transformación de la intimidad. Sexualidad, amor y erotismo en las sociedades modernas</w:t>
      </w:r>
      <w:r w:rsidDel="00000000" w:rsidR="00000000" w:rsidRPr="00000000">
        <w:rPr>
          <w:rFonts w:ascii="Arial" w:cs="Arial" w:eastAsia="Arial" w:hAnsi="Arial"/>
          <w:rtl w:val="0"/>
        </w:rPr>
        <w:t xml:space="preserve">. Cátedra. Madrid.</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Hoschchild, Arlie R (1989) </w:t>
      </w:r>
      <w:r w:rsidDel="00000000" w:rsidR="00000000" w:rsidRPr="00000000">
        <w:rPr>
          <w:rFonts w:ascii="Arial" w:cs="Arial" w:eastAsia="Arial" w:hAnsi="Arial"/>
          <w:i w:val="1"/>
          <w:rtl w:val="0"/>
        </w:rPr>
        <w:t xml:space="preserve">The Second Shift</w:t>
      </w:r>
      <w:r w:rsidDel="00000000" w:rsidR="00000000" w:rsidRPr="00000000">
        <w:rPr>
          <w:rFonts w:ascii="Arial" w:cs="Arial" w:eastAsia="Arial" w:hAnsi="Arial"/>
          <w:rtl w:val="0"/>
        </w:rPr>
        <w:t xml:space="preserve">. New York, N.Y: Viking.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Illouz, Eva (2007). </w:t>
      </w:r>
      <w:r w:rsidDel="00000000" w:rsidR="00000000" w:rsidRPr="00000000">
        <w:rPr>
          <w:rFonts w:ascii="Arial" w:cs="Arial" w:eastAsia="Arial" w:hAnsi="Arial"/>
          <w:i w:val="1"/>
          <w:rtl w:val="0"/>
        </w:rPr>
        <w:t xml:space="preserve">Intimidades congeladas. Las emociones en el capitalismo</w:t>
      </w:r>
      <w:r w:rsidDel="00000000" w:rsidR="00000000" w:rsidRPr="00000000">
        <w:rPr>
          <w:rFonts w:ascii="Arial" w:cs="Arial" w:eastAsia="Arial" w:hAnsi="Arial"/>
          <w:rtl w:val="0"/>
        </w:rPr>
        <w:t xml:space="preserve">. Katz Editores, Buenos Aires.</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Kandiyoti, Deniz (1988) “Bargaining with Patriarchy”. En: </w:t>
      </w:r>
      <w:r w:rsidDel="00000000" w:rsidR="00000000" w:rsidRPr="00000000">
        <w:rPr>
          <w:rFonts w:ascii="Arial" w:cs="Arial" w:eastAsia="Arial" w:hAnsi="Arial"/>
          <w:i w:val="1"/>
          <w:rtl w:val="0"/>
        </w:rPr>
        <w:t xml:space="preserve">Gender and Society</w:t>
      </w:r>
      <w:r w:rsidDel="00000000" w:rsidR="00000000" w:rsidRPr="00000000">
        <w:rPr>
          <w:rFonts w:ascii="Arial" w:cs="Arial" w:eastAsia="Arial" w:hAnsi="Arial"/>
          <w:rtl w:val="0"/>
        </w:rPr>
        <w:t xml:space="preserve"> vol. 2 n° 3, sept. 1988. Pp. 274-290.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Kennedy, Duncan (2016) </w:t>
      </w:r>
      <w:r w:rsidDel="00000000" w:rsidR="00000000" w:rsidRPr="00000000">
        <w:rPr>
          <w:rFonts w:ascii="Arial" w:cs="Arial" w:eastAsia="Arial" w:hAnsi="Arial"/>
          <w:i w:val="1"/>
          <w:rtl w:val="0"/>
        </w:rPr>
        <w:t xml:space="preserve">Abuso sexual y vestimenta sexy</w:t>
      </w:r>
      <w:r w:rsidDel="00000000" w:rsidR="00000000" w:rsidRPr="00000000">
        <w:rPr>
          <w:rFonts w:ascii="Arial" w:cs="Arial" w:eastAsia="Arial" w:hAnsi="Arial"/>
          <w:rtl w:val="0"/>
        </w:rPr>
        <w:t xml:space="preserve">. Siglo XXI editores. México.</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Lorber, Judith (2008) “A world without gender?” En: Davis, Evand and Lorber (eds.) </w:t>
      </w:r>
      <w:r w:rsidDel="00000000" w:rsidR="00000000" w:rsidRPr="00000000">
        <w:rPr>
          <w:rFonts w:ascii="Arial" w:cs="Arial" w:eastAsia="Arial" w:hAnsi="Arial"/>
          <w:i w:val="1"/>
          <w:rtl w:val="0"/>
        </w:rPr>
        <w:t xml:space="preserve">Handbook of Gender and Women Studies</w:t>
      </w:r>
      <w:r w:rsidDel="00000000" w:rsidR="00000000" w:rsidRPr="00000000">
        <w:rPr>
          <w:rFonts w:ascii="Arial" w:cs="Arial" w:eastAsia="Arial" w:hAnsi="Arial"/>
          <w:rtl w:val="0"/>
        </w:rPr>
        <w:t xml:space="preserve">. Sage Publications, London.</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Lorber, Judith (2011) “Strategies of feminist research in a globalized world” En: Ngan-Ling Chow, Texler Segal y Tan (eds.) </w:t>
      </w:r>
      <w:r w:rsidDel="00000000" w:rsidR="00000000" w:rsidRPr="00000000">
        <w:rPr>
          <w:rFonts w:ascii="Arial" w:cs="Arial" w:eastAsia="Arial" w:hAnsi="Arial"/>
          <w:i w:val="1"/>
          <w:rtl w:val="0"/>
        </w:rPr>
        <w:t xml:space="preserve">Analyzing gender, intersectionality and multiple inequalities: global, transnational and global contexts</w:t>
      </w:r>
      <w:r w:rsidDel="00000000" w:rsidR="00000000" w:rsidRPr="00000000">
        <w:rPr>
          <w:rFonts w:ascii="Arial" w:cs="Arial" w:eastAsia="Arial" w:hAnsi="Arial"/>
          <w:rtl w:val="0"/>
        </w:rPr>
        <w:t xml:space="preserve">. Emerald. Bringley, UK.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Lovell, Terry (2000) “Thinking feminism with and against Bourdieu”. En: </w:t>
      </w:r>
      <w:r w:rsidDel="00000000" w:rsidR="00000000" w:rsidRPr="00000000">
        <w:rPr>
          <w:rFonts w:ascii="Arial" w:cs="Arial" w:eastAsia="Arial" w:hAnsi="Arial"/>
          <w:i w:val="1"/>
          <w:rtl w:val="0"/>
        </w:rPr>
        <w:t xml:space="preserve">Feminist Theory</w:t>
      </w:r>
      <w:r w:rsidDel="00000000" w:rsidR="00000000" w:rsidRPr="00000000">
        <w:rPr>
          <w:rFonts w:ascii="Arial" w:cs="Arial" w:eastAsia="Arial" w:hAnsi="Arial"/>
          <w:rtl w:val="0"/>
        </w:rPr>
        <w:t xml:space="preserve"> 1(1) 25.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Mahmood, Saba (2005) “Agency, gender and embodiment” En: </w:t>
      </w:r>
      <w:r w:rsidDel="00000000" w:rsidR="00000000" w:rsidRPr="00000000">
        <w:rPr>
          <w:rFonts w:ascii="Arial" w:cs="Arial" w:eastAsia="Arial" w:hAnsi="Arial"/>
          <w:i w:val="1"/>
          <w:rtl w:val="0"/>
        </w:rPr>
        <w:t xml:space="preserve">Politics of Piety. The Islamic revival and the feminist subject</w:t>
      </w:r>
      <w:r w:rsidDel="00000000" w:rsidR="00000000" w:rsidRPr="00000000">
        <w:rPr>
          <w:rFonts w:ascii="Arial" w:cs="Arial" w:eastAsia="Arial" w:hAnsi="Arial"/>
          <w:rtl w:val="0"/>
        </w:rPr>
        <w:t xml:space="preserve">. Princeton University Press, NY.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McNay, Lois (2015) “Social Freedom and Progress in the Family: Reflections on Care, Gender and Inequality. En: </w:t>
      </w:r>
      <w:r w:rsidDel="00000000" w:rsidR="00000000" w:rsidRPr="00000000">
        <w:rPr>
          <w:rFonts w:ascii="Arial" w:cs="Arial" w:eastAsia="Arial" w:hAnsi="Arial"/>
          <w:i w:val="1"/>
          <w:rtl w:val="0"/>
        </w:rPr>
        <w:t xml:space="preserve">Critical Horizons</w:t>
      </w:r>
      <w:r w:rsidDel="00000000" w:rsidR="00000000" w:rsidRPr="00000000">
        <w:rPr>
          <w:rFonts w:ascii="Arial" w:cs="Arial" w:eastAsia="Arial" w:hAnsi="Arial"/>
          <w:rtl w:val="0"/>
        </w:rPr>
        <w:t xml:space="preserve">, 16:2, 170-186.</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Rodríguez de Jesús, Cynthia (2014). La violencia en contra de la mujer y el trabajo extradoméstico femenino. Tesis de Maestría en Demografía. El Colegio de México.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Sabsay, Leticia (2012) “De sujetos performativos, Psicoanálisis y Visiones Constructivistas”. En: Soley-Beltrán Patricia y Leticia Sabsay: </w:t>
      </w:r>
      <w:r w:rsidDel="00000000" w:rsidR="00000000" w:rsidRPr="00000000">
        <w:rPr>
          <w:rFonts w:ascii="Arial" w:cs="Arial" w:eastAsia="Arial" w:hAnsi="Arial"/>
          <w:i w:val="1"/>
          <w:rtl w:val="0"/>
        </w:rPr>
        <w:t xml:space="preserve">Judith Butler en Disputa. Lecturas sobre la Performatividad</w:t>
      </w:r>
      <w:r w:rsidDel="00000000" w:rsidR="00000000" w:rsidRPr="00000000">
        <w:rPr>
          <w:rFonts w:ascii="Arial" w:cs="Arial" w:eastAsia="Arial" w:hAnsi="Arial"/>
          <w:rtl w:val="0"/>
        </w:rPr>
        <w:t xml:space="preserve">. Egales, Barcelona.</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Skeggs, Beverley (2010) “The value of relationships: affective scenes and emotional performances”. En: </w:t>
      </w:r>
      <w:r w:rsidDel="00000000" w:rsidR="00000000" w:rsidRPr="00000000">
        <w:rPr>
          <w:rFonts w:ascii="Arial" w:cs="Arial" w:eastAsia="Arial" w:hAnsi="Arial"/>
          <w:i w:val="1"/>
          <w:rtl w:val="0"/>
        </w:rPr>
        <w:t xml:space="preserve">Feminist Legal Studies</w:t>
      </w:r>
      <w:r w:rsidDel="00000000" w:rsidR="00000000" w:rsidRPr="00000000">
        <w:rPr>
          <w:rFonts w:ascii="Arial" w:cs="Arial" w:eastAsia="Arial" w:hAnsi="Arial"/>
          <w:rtl w:val="0"/>
        </w:rPr>
        <w:t xml:space="preserve"> 18: 29-51.</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Skeggs, Beverley (2001) “The Toilet Paper: Feminity, Class and Mis-recognition”. En: </w:t>
      </w:r>
      <w:r w:rsidDel="00000000" w:rsidR="00000000" w:rsidRPr="00000000">
        <w:rPr>
          <w:rFonts w:ascii="Arial" w:cs="Arial" w:eastAsia="Arial" w:hAnsi="Arial"/>
          <w:i w:val="1"/>
          <w:rtl w:val="0"/>
        </w:rPr>
        <w:t xml:space="preserve">Women’s Studies International Forum</w:t>
      </w:r>
      <w:r w:rsidDel="00000000" w:rsidR="00000000" w:rsidRPr="00000000">
        <w:rPr>
          <w:rFonts w:ascii="Arial" w:cs="Arial" w:eastAsia="Arial" w:hAnsi="Arial"/>
          <w:rtl w:val="0"/>
        </w:rPr>
        <w:t xml:space="preserve">, Vol. 24, n° 3-4 pp. 295-307.</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Touraine, Alain (2007) </w:t>
      </w:r>
      <w:r w:rsidDel="00000000" w:rsidR="00000000" w:rsidRPr="00000000">
        <w:rPr>
          <w:rFonts w:ascii="Arial" w:cs="Arial" w:eastAsia="Arial" w:hAnsi="Arial"/>
          <w:i w:val="1"/>
          <w:rtl w:val="0"/>
        </w:rPr>
        <w:t xml:space="preserve">El mundo de las mujeres</w:t>
      </w:r>
      <w:r w:rsidDel="00000000" w:rsidR="00000000" w:rsidRPr="00000000">
        <w:rPr>
          <w:rFonts w:ascii="Arial" w:cs="Arial" w:eastAsia="Arial" w:hAnsi="Arial"/>
          <w:rtl w:val="0"/>
        </w:rPr>
        <w:t xml:space="preserve">. Paidós. Barcelona.</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Wainerman C (2007). Familia, trabajo y relaciones de género. En: Carbonero MA y Silvia Levín. </w:t>
      </w:r>
      <w:r w:rsidDel="00000000" w:rsidR="00000000" w:rsidRPr="00000000">
        <w:rPr>
          <w:rFonts w:ascii="Arial" w:cs="Arial" w:eastAsia="Arial" w:hAnsi="Arial"/>
          <w:i w:val="1"/>
          <w:rtl w:val="0"/>
        </w:rPr>
        <w:t xml:space="preserve">Entre familia y trabajo</w:t>
      </w:r>
      <w:r w:rsidDel="00000000" w:rsidR="00000000" w:rsidRPr="00000000">
        <w:rPr>
          <w:rFonts w:ascii="Arial" w:cs="Arial" w:eastAsia="Arial" w:hAnsi="Arial"/>
          <w:rtl w:val="0"/>
        </w:rPr>
        <w:t xml:space="preserve">. Ed. Homo Sapiens, Rosario, Argentina.</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decir, aquellas ocupaciones donde hay un claro predominio de uno u otro género.</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refiere, como se verá más adelante, a procesos en los que ciertas tareas, habilidades o disposiciones dejan de verse como naturalmente asociadas con un género determinado.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