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35E9D" w:rsidRDefault="00835E9D" w:rsidP="00835E9D">
      <w:pPr>
        <w:pStyle w:val="Header"/>
        <w:jc w:val="center"/>
        <w:rPr>
          <w:rFonts w:ascii="Arial" w:hAnsi="Arial" w:cs="Arial"/>
          <w:b/>
          <w:noProof/>
          <w:sz w:val="28"/>
          <w:szCs w:val="28"/>
          <w:lang w:eastAsia="es-AR"/>
        </w:rPr>
      </w:pPr>
    </w:p>
    <w:p w:rsidR="00835E9D" w:rsidRDefault="00835E9D" w:rsidP="00835E9D">
      <w:pPr>
        <w:pStyle w:val="Header"/>
        <w:jc w:val="center"/>
        <w:rPr>
          <w:rFonts w:ascii="Arial" w:hAnsi="Arial" w:cs="Arial"/>
          <w:b/>
          <w:noProof/>
          <w:sz w:val="28"/>
          <w:szCs w:val="28"/>
          <w:lang w:eastAsia="es-AR"/>
        </w:rPr>
      </w:pPr>
    </w:p>
    <w:p w:rsidR="002E555B" w:rsidRPr="00835E9D" w:rsidRDefault="002E555B" w:rsidP="00835E9D">
      <w:pPr>
        <w:pStyle w:val="Header"/>
        <w:spacing w:line="360" w:lineRule="auto"/>
        <w:jc w:val="center"/>
        <w:rPr>
          <w:rFonts w:ascii="Arial" w:hAnsi="Arial" w:cs="Arial"/>
          <w:b/>
          <w:noProof/>
          <w:sz w:val="28"/>
          <w:szCs w:val="28"/>
          <w:lang w:eastAsia="es-AR"/>
        </w:rPr>
      </w:pPr>
      <w:r w:rsidRPr="00835E9D">
        <w:rPr>
          <w:rFonts w:ascii="Arial" w:hAnsi="Arial" w:cs="Arial"/>
          <w:b/>
          <w:noProof/>
          <w:sz w:val="28"/>
          <w:szCs w:val="28"/>
          <w:lang w:eastAsia="es-AR"/>
        </w:rPr>
        <w:t>II Congreso Latinoamericano de Teoría Social y  Teoría Política</w:t>
      </w:r>
    </w:p>
    <w:p w:rsidR="00835E9D" w:rsidRDefault="002E555B" w:rsidP="00835E9D">
      <w:pPr>
        <w:spacing w:after="0" w:line="360" w:lineRule="auto"/>
        <w:jc w:val="center"/>
        <w:rPr>
          <w:rFonts w:ascii="Arial" w:hAnsi="Arial" w:cs="Arial"/>
          <w:noProof/>
          <w:sz w:val="28"/>
          <w:szCs w:val="28"/>
          <w:lang w:eastAsia="es-AR"/>
        </w:rPr>
      </w:pPr>
      <w:r w:rsidRPr="00835E9D">
        <w:rPr>
          <w:rFonts w:ascii="Arial" w:hAnsi="Arial" w:cs="Arial"/>
          <w:noProof/>
          <w:sz w:val="28"/>
          <w:szCs w:val="28"/>
          <w:lang w:eastAsia="es-AR"/>
        </w:rPr>
        <w:t>“Horizontes y dilemas del pensamiento contemporáneo en el sur global”</w:t>
      </w:r>
    </w:p>
    <w:p w:rsidR="008D5B69" w:rsidRPr="00835E9D" w:rsidRDefault="002E555B" w:rsidP="00835E9D">
      <w:pPr>
        <w:spacing w:after="0" w:line="360" w:lineRule="auto"/>
        <w:jc w:val="center"/>
        <w:rPr>
          <w:rFonts w:ascii="Arial" w:hAnsi="Arial" w:cs="Arial"/>
          <w:noProof/>
          <w:sz w:val="28"/>
          <w:szCs w:val="28"/>
          <w:lang w:eastAsia="es-AR"/>
        </w:rPr>
      </w:pPr>
      <w:r w:rsidRPr="00835E9D">
        <w:rPr>
          <w:rFonts w:ascii="Arial" w:hAnsi="Arial" w:cs="Arial"/>
          <w:noProof/>
          <w:sz w:val="28"/>
          <w:szCs w:val="28"/>
          <w:lang w:eastAsia="es-AR"/>
        </w:rPr>
        <w:t>Buenos Aires, 2 al 4 de Agosto de 2017</w:t>
      </w:r>
    </w:p>
    <w:p w:rsidR="002E555B" w:rsidRPr="00835E9D" w:rsidRDefault="002E555B" w:rsidP="002E555B">
      <w:pPr>
        <w:jc w:val="center"/>
        <w:rPr>
          <w:rFonts w:ascii="Arial" w:hAnsi="Arial" w:cs="Arial"/>
          <w:sz w:val="28"/>
          <w:szCs w:val="28"/>
        </w:rPr>
      </w:pPr>
    </w:p>
    <w:p w:rsidR="002E555B" w:rsidRPr="00835E9D" w:rsidRDefault="002E555B" w:rsidP="002E555B">
      <w:pPr>
        <w:jc w:val="center"/>
        <w:rPr>
          <w:rFonts w:ascii="Arial" w:hAnsi="Arial" w:cs="Arial"/>
          <w:sz w:val="28"/>
          <w:szCs w:val="28"/>
        </w:rPr>
      </w:pPr>
    </w:p>
    <w:p w:rsidR="00835E9D" w:rsidRPr="00835E9D" w:rsidRDefault="002E555B" w:rsidP="002E555B">
      <w:pPr>
        <w:jc w:val="center"/>
        <w:rPr>
          <w:rFonts w:ascii="Arial" w:hAnsi="Arial" w:cs="Arial"/>
          <w:sz w:val="28"/>
          <w:szCs w:val="28"/>
        </w:rPr>
      </w:pPr>
      <w:r w:rsidRPr="00835E9D">
        <w:rPr>
          <w:rFonts w:ascii="Arial" w:hAnsi="Arial" w:cs="Arial"/>
          <w:sz w:val="28"/>
          <w:szCs w:val="28"/>
        </w:rPr>
        <w:t>Mesa Temática</w:t>
      </w:r>
      <w:bookmarkStart w:id="0" w:name="_GoBack"/>
      <w:bookmarkEnd w:id="0"/>
      <w:r w:rsidRPr="00835E9D">
        <w:rPr>
          <w:rFonts w:ascii="Arial" w:hAnsi="Arial" w:cs="Arial"/>
          <w:sz w:val="28"/>
          <w:szCs w:val="28"/>
        </w:rPr>
        <w:t xml:space="preserve"> </w:t>
      </w:r>
      <w:r w:rsidR="00B81469">
        <w:rPr>
          <w:rFonts w:ascii="Arial" w:hAnsi="Arial" w:cs="Arial"/>
          <w:sz w:val="28"/>
          <w:szCs w:val="28"/>
        </w:rPr>
        <w:t>2</w:t>
      </w:r>
      <w:r w:rsidR="00D01116">
        <w:rPr>
          <w:rFonts w:ascii="Arial" w:hAnsi="Arial" w:cs="Arial"/>
          <w:sz w:val="28"/>
          <w:szCs w:val="28"/>
        </w:rPr>
        <w:t xml:space="preserve"> </w:t>
      </w:r>
      <w:r w:rsidR="00C64732">
        <w:rPr>
          <w:rFonts w:ascii="Arial" w:hAnsi="Arial" w:cs="Arial"/>
          <w:sz w:val="28"/>
          <w:szCs w:val="28"/>
        </w:rPr>
        <w:t>Ontología social: de Marx a Heidegger y más acá</w:t>
      </w:r>
      <w:r w:rsidR="00D01116">
        <w:rPr>
          <w:rFonts w:ascii="Arial" w:hAnsi="Arial" w:cs="Arial"/>
          <w:sz w:val="28"/>
          <w:szCs w:val="28"/>
        </w:rPr>
        <w:t>.</w:t>
      </w:r>
    </w:p>
    <w:p w:rsidR="00835E9D" w:rsidRPr="00835E9D" w:rsidRDefault="00835E9D" w:rsidP="002E555B">
      <w:pPr>
        <w:jc w:val="center"/>
        <w:rPr>
          <w:rFonts w:ascii="Arial" w:hAnsi="Arial" w:cs="Arial"/>
          <w:sz w:val="28"/>
          <w:szCs w:val="28"/>
        </w:rPr>
      </w:pPr>
    </w:p>
    <w:p w:rsidR="00835E9D" w:rsidRPr="00835E9D" w:rsidRDefault="00C64732" w:rsidP="002E555B">
      <w:pPr>
        <w:jc w:val="center"/>
        <w:rPr>
          <w:rFonts w:ascii="Arial" w:hAnsi="Arial" w:cs="Arial"/>
          <w:sz w:val="28"/>
          <w:szCs w:val="28"/>
        </w:rPr>
      </w:pPr>
      <w:r>
        <w:rPr>
          <w:rFonts w:ascii="Arial" w:hAnsi="Arial" w:cs="Arial"/>
          <w:sz w:val="28"/>
          <w:szCs w:val="28"/>
        </w:rPr>
        <w:t>Comunidad, política y escritura en la filosofía de Jean-Luc Nancy y Maurice Blanchot</w:t>
      </w:r>
    </w:p>
    <w:p w:rsidR="00835E9D" w:rsidRPr="00835E9D" w:rsidRDefault="00835E9D" w:rsidP="002E555B">
      <w:pPr>
        <w:jc w:val="center"/>
        <w:rPr>
          <w:rFonts w:ascii="Arial" w:hAnsi="Arial" w:cs="Arial"/>
          <w:sz w:val="28"/>
          <w:szCs w:val="28"/>
        </w:rPr>
      </w:pPr>
    </w:p>
    <w:p w:rsidR="00835E9D" w:rsidRDefault="00C64732" w:rsidP="002E555B">
      <w:pPr>
        <w:jc w:val="center"/>
        <w:rPr>
          <w:rFonts w:ascii="Arial" w:hAnsi="Arial" w:cs="Arial"/>
          <w:sz w:val="28"/>
          <w:szCs w:val="28"/>
        </w:rPr>
      </w:pPr>
      <w:r>
        <w:rPr>
          <w:rFonts w:ascii="Arial" w:hAnsi="Arial" w:cs="Arial"/>
          <w:sz w:val="28"/>
          <w:szCs w:val="28"/>
        </w:rPr>
        <w:t xml:space="preserve">Juan José Martínez Olguín – IIGG / UBA – LLCP / Paris 8 - </w:t>
      </w:r>
      <w:r w:rsidR="00835E9D" w:rsidRPr="00835E9D">
        <w:rPr>
          <w:rFonts w:ascii="Arial" w:hAnsi="Arial" w:cs="Arial"/>
          <w:sz w:val="28"/>
          <w:szCs w:val="28"/>
        </w:rPr>
        <w:t>.</w:t>
      </w:r>
    </w:p>
    <w:p w:rsidR="00D01116" w:rsidRPr="00835E9D" w:rsidRDefault="00D01116" w:rsidP="00C64732">
      <w:pPr>
        <w:jc w:val="center"/>
        <w:rPr>
          <w:rFonts w:ascii="Arial" w:hAnsi="Arial" w:cs="Arial"/>
          <w:sz w:val="28"/>
          <w:szCs w:val="28"/>
        </w:rPr>
      </w:pPr>
    </w:p>
    <w:p w:rsidR="00D01116" w:rsidRPr="00C64732" w:rsidRDefault="00D01116" w:rsidP="00C64732">
      <w:pPr>
        <w:jc w:val="both"/>
        <w:rPr>
          <w:rFonts w:ascii="Arial" w:hAnsi="Arial" w:cs="Arial"/>
          <w:sz w:val="28"/>
          <w:szCs w:val="28"/>
          <w:lang w:val="es-ES_tradnl"/>
        </w:rPr>
      </w:pPr>
      <w:r w:rsidRPr="00C64732">
        <w:rPr>
          <w:rFonts w:ascii="Arial" w:hAnsi="Arial" w:cs="Arial"/>
          <w:sz w:val="28"/>
          <w:szCs w:val="28"/>
          <w:lang w:val="es-ES_tradnl"/>
        </w:rPr>
        <w:t>Resumen</w:t>
      </w:r>
      <w:r w:rsidR="00C64732" w:rsidRPr="00C64732">
        <w:rPr>
          <w:rFonts w:ascii="Arial" w:hAnsi="Arial" w:cs="Arial"/>
          <w:sz w:val="28"/>
          <w:szCs w:val="28"/>
          <w:lang w:val="es-ES_tradnl"/>
        </w:rPr>
        <w:t xml:space="preserve">: </w:t>
      </w:r>
      <w:r w:rsidR="00C64732" w:rsidRPr="00C64732">
        <w:rPr>
          <w:rFonts w:ascii="Arial" w:hAnsi="Arial" w:cs="Georgia"/>
          <w:sz w:val="28"/>
          <w:szCs w:val="32"/>
          <w:lang w:val="es-ES_tradnl"/>
        </w:rPr>
        <w:t xml:space="preserve">Con sus obras </w:t>
      </w:r>
      <w:r w:rsidR="00C64732" w:rsidRPr="00C64732">
        <w:rPr>
          <w:rFonts w:ascii="Arial" w:hAnsi="Arial" w:cs="Georgia"/>
          <w:i/>
          <w:sz w:val="28"/>
          <w:szCs w:val="32"/>
          <w:lang w:val="es-ES_tradnl"/>
        </w:rPr>
        <w:t xml:space="preserve">La comunidad </w:t>
      </w:r>
      <w:proofErr w:type="spellStart"/>
      <w:r w:rsidR="00C64732" w:rsidRPr="00C64732">
        <w:rPr>
          <w:rFonts w:ascii="Arial" w:hAnsi="Arial" w:cs="Georgia"/>
          <w:i/>
          <w:sz w:val="28"/>
          <w:szCs w:val="32"/>
          <w:lang w:val="es-ES_tradnl"/>
        </w:rPr>
        <w:t>desobrada</w:t>
      </w:r>
      <w:proofErr w:type="spellEnd"/>
      <w:r w:rsidR="00C64732" w:rsidRPr="00C64732">
        <w:rPr>
          <w:rFonts w:ascii="Arial" w:hAnsi="Arial" w:cs="Georgia"/>
          <w:sz w:val="28"/>
          <w:szCs w:val="32"/>
          <w:lang w:val="es-ES_tradnl"/>
        </w:rPr>
        <w:t xml:space="preserve"> y </w:t>
      </w:r>
      <w:r w:rsidR="00C64732" w:rsidRPr="00C64732">
        <w:rPr>
          <w:rFonts w:ascii="Arial" w:hAnsi="Arial" w:cs="Georgia"/>
          <w:i/>
          <w:sz w:val="28"/>
          <w:szCs w:val="32"/>
          <w:lang w:val="es-ES_tradnl"/>
        </w:rPr>
        <w:t>La comunidad inconfesable</w:t>
      </w:r>
      <w:r w:rsidR="00C64732" w:rsidRPr="00C64732">
        <w:rPr>
          <w:rFonts w:ascii="Arial" w:hAnsi="Arial" w:cs="Georgia"/>
          <w:sz w:val="28"/>
          <w:szCs w:val="32"/>
          <w:lang w:val="es-ES_tradnl"/>
        </w:rPr>
        <w:t xml:space="preserve">, Jean-Luc Nancy y Maurice </w:t>
      </w:r>
      <w:proofErr w:type="spellStart"/>
      <w:r w:rsidR="00C64732" w:rsidRPr="00C64732">
        <w:rPr>
          <w:rFonts w:ascii="Arial" w:hAnsi="Arial" w:cs="Georgia"/>
          <w:sz w:val="28"/>
          <w:szCs w:val="32"/>
          <w:lang w:val="es-ES_tradnl"/>
        </w:rPr>
        <w:t>Blanchot</w:t>
      </w:r>
      <w:proofErr w:type="spellEnd"/>
      <w:r w:rsidR="00C64732" w:rsidRPr="00C64732">
        <w:rPr>
          <w:rFonts w:ascii="Arial" w:hAnsi="Arial" w:cs="Georgia"/>
          <w:sz w:val="28"/>
          <w:szCs w:val="32"/>
          <w:lang w:val="es-ES_tradnl"/>
        </w:rPr>
        <w:t xml:space="preserve"> entablaron, en la década del 80, un diálogo cuyo objeto central fue el tema de la comunidad. En ese diálogo, sin embargo, no sólo estaban involucrados Nancy y </w:t>
      </w:r>
      <w:proofErr w:type="spellStart"/>
      <w:r w:rsidR="00C64732" w:rsidRPr="00C64732">
        <w:rPr>
          <w:rFonts w:ascii="Arial" w:hAnsi="Arial" w:cs="Georgia"/>
          <w:sz w:val="28"/>
          <w:szCs w:val="32"/>
          <w:lang w:val="es-ES_tradnl"/>
        </w:rPr>
        <w:t>Blanchot</w:t>
      </w:r>
      <w:proofErr w:type="spellEnd"/>
      <w:r w:rsidR="00C64732" w:rsidRPr="00C64732">
        <w:rPr>
          <w:rFonts w:ascii="Arial" w:hAnsi="Arial" w:cs="Georgia"/>
          <w:sz w:val="28"/>
          <w:szCs w:val="32"/>
          <w:lang w:val="es-ES_tradnl"/>
        </w:rPr>
        <w:t xml:space="preserve">: ambos se reconocían como herederos de una reflexión que habían iniciado, con diferentes matices y en diferentes épocas, Nietzsche y Bataille. Varias décadas más tarde, en La comunidad revocada, Nancy vuelve sobre el debate que lo tuvo como protagonista en los ochenta: ¿qué tan lejos pretendió ir </w:t>
      </w:r>
      <w:proofErr w:type="spellStart"/>
      <w:r w:rsidR="00C64732" w:rsidRPr="00C64732">
        <w:rPr>
          <w:rFonts w:ascii="Arial" w:hAnsi="Arial" w:cs="Georgia"/>
          <w:sz w:val="28"/>
          <w:szCs w:val="32"/>
          <w:lang w:val="es-ES_tradnl"/>
        </w:rPr>
        <w:t>Blanchot</w:t>
      </w:r>
      <w:proofErr w:type="spellEnd"/>
      <w:r w:rsidR="00C64732" w:rsidRPr="00C64732">
        <w:rPr>
          <w:rFonts w:ascii="Arial" w:hAnsi="Arial" w:cs="Georgia"/>
          <w:sz w:val="28"/>
          <w:szCs w:val="32"/>
          <w:lang w:val="es-ES_tradnl"/>
        </w:rPr>
        <w:t xml:space="preserve"> con los argumentos que opuso contra el texto del propio Nancy? A partir de esa pregunta, que inicia uno de los apartados del último ensayo de Nancy, el trabajo se propone reanudar ese debate con el objeto de repensar el vínculo entre comunidad, política y escritura.</w:t>
      </w:r>
      <w:r w:rsidR="00C64732" w:rsidRPr="00C64732">
        <w:rPr>
          <w:rFonts w:ascii="Arial" w:hAnsi="Arial" w:cs="Arial"/>
          <w:sz w:val="28"/>
          <w:lang w:val="es-ES_tradnl"/>
        </w:rPr>
        <w:t xml:space="preserve"> </w:t>
      </w:r>
      <w:r w:rsidR="00C64732" w:rsidRPr="00C64732">
        <w:rPr>
          <w:rFonts w:ascii="Arial" w:hAnsi="Arial" w:cs="Arial"/>
          <w:sz w:val="28"/>
          <w:szCs w:val="28"/>
          <w:lang w:val="es-ES_tradnl"/>
        </w:rPr>
        <w:t xml:space="preserve"> </w:t>
      </w:r>
    </w:p>
    <w:p w:rsidR="00C64732" w:rsidRPr="00C64732" w:rsidRDefault="00C64732" w:rsidP="00C64732">
      <w:pPr>
        <w:spacing w:line="360" w:lineRule="auto"/>
        <w:jc w:val="both"/>
        <w:rPr>
          <w:rFonts w:ascii="Arial" w:hAnsi="Arial"/>
          <w:b/>
          <w:lang w:val="es-ES_tradnl"/>
        </w:rPr>
      </w:pPr>
    </w:p>
    <w:p w:rsidR="00C64732" w:rsidRPr="00C64732" w:rsidRDefault="00C64732" w:rsidP="00C64732">
      <w:pPr>
        <w:spacing w:line="360" w:lineRule="auto"/>
        <w:rPr>
          <w:rFonts w:ascii="Arial" w:hAnsi="Arial"/>
          <w:b/>
          <w:lang w:val="es-ES_tradnl"/>
        </w:rPr>
      </w:pPr>
      <w:r w:rsidRPr="00C64732">
        <w:rPr>
          <w:rFonts w:ascii="Arial" w:hAnsi="Arial"/>
          <w:lang w:val="es-ES_tradnl"/>
        </w:rPr>
        <w:t>En el último ensayo de la serie de textos dedicados a la comunidad, Jean-Luc Nancy retoma la frase que él mismo había citado de Bataille sobre la relación que, segú</w:t>
      </w:r>
      <w:r>
        <w:rPr>
          <w:rFonts w:ascii="Arial" w:hAnsi="Arial"/>
          <w:lang w:val="es-ES_tradnl"/>
        </w:rPr>
        <w:t xml:space="preserve">n el </w:t>
      </w:r>
      <w:r w:rsidRPr="00C64732">
        <w:rPr>
          <w:rFonts w:ascii="Arial" w:hAnsi="Arial"/>
          <w:lang w:val="es-ES_tradnl"/>
        </w:rPr>
        <w:t>propio Bataille, lo unía a Nietzsche: “El deseo de comunicar –escribía Bataille- nace en mí de un sentimiento de comunidad ligándome a Nietzsche”</w:t>
      </w:r>
      <w:r w:rsidRPr="00C64732">
        <w:rPr>
          <w:rStyle w:val="FootnoteReference"/>
          <w:rFonts w:ascii="Arial" w:hAnsi="Arial"/>
          <w:lang w:val="es-ES_tradnl"/>
        </w:rPr>
        <w:footnoteReference w:id="2"/>
      </w:r>
      <w:r w:rsidRPr="00C64732">
        <w:rPr>
          <w:rFonts w:ascii="Arial" w:hAnsi="Arial"/>
          <w:lang w:val="es-ES_tradnl"/>
        </w:rPr>
        <w:t xml:space="preserve">.  </w:t>
      </w:r>
    </w:p>
    <w:p w:rsidR="00C64732" w:rsidRPr="00C64732" w:rsidRDefault="00C64732" w:rsidP="00C64732">
      <w:pPr>
        <w:spacing w:line="360" w:lineRule="auto"/>
        <w:jc w:val="both"/>
        <w:rPr>
          <w:rFonts w:ascii="Arial" w:hAnsi="Arial"/>
          <w:lang w:val="es-ES_tradnl"/>
        </w:rPr>
      </w:pPr>
      <w:r w:rsidRPr="00C64732">
        <w:rPr>
          <w:rFonts w:ascii="Arial" w:hAnsi="Arial"/>
          <w:lang w:val="es-ES_tradnl"/>
        </w:rPr>
        <w:t xml:space="preserve">Allí, en el tercer apartado del texto que abre </w:t>
      </w:r>
      <w:r w:rsidRPr="00C64732">
        <w:rPr>
          <w:rFonts w:ascii="Arial" w:hAnsi="Arial"/>
          <w:i/>
          <w:lang w:val="es-ES_tradnl"/>
        </w:rPr>
        <w:t>La comunidad revocada</w:t>
      </w:r>
      <w:r w:rsidRPr="00C64732">
        <w:rPr>
          <w:rFonts w:ascii="Arial" w:hAnsi="Arial"/>
          <w:lang w:val="es-ES_tradnl"/>
        </w:rPr>
        <w:t xml:space="preserve">, Nancy vuelve sobre la cita de Bataille para intentar explicar otra frase: la que elige </w:t>
      </w:r>
      <w:proofErr w:type="spellStart"/>
      <w:r w:rsidRPr="00C64732">
        <w:rPr>
          <w:rFonts w:ascii="Arial" w:hAnsi="Arial"/>
          <w:lang w:val="es-ES_tradnl"/>
        </w:rPr>
        <w:t>Blanchot</w:t>
      </w:r>
      <w:proofErr w:type="spellEnd"/>
      <w:r w:rsidRPr="00C64732">
        <w:rPr>
          <w:rFonts w:ascii="Arial" w:hAnsi="Arial"/>
          <w:lang w:val="es-ES_tradnl"/>
        </w:rPr>
        <w:t xml:space="preserve"> para concluir la primera parte del libro que forma parte de esa serie de ensayos que inaugura aquél otro libro de Nancy: </w:t>
      </w:r>
      <w:r w:rsidRPr="00C64732">
        <w:rPr>
          <w:rFonts w:ascii="Arial" w:hAnsi="Arial"/>
          <w:i/>
          <w:lang w:val="es-ES_tradnl"/>
        </w:rPr>
        <w:t xml:space="preserve">La comunidad </w:t>
      </w:r>
      <w:proofErr w:type="spellStart"/>
      <w:r w:rsidRPr="00C64732">
        <w:rPr>
          <w:rFonts w:ascii="Arial" w:hAnsi="Arial"/>
          <w:i/>
          <w:lang w:val="es-ES_tradnl"/>
        </w:rPr>
        <w:t>desobrada</w:t>
      </w:r>
      <w:proofErr w:type="spellEnd"/>
      <w:r w:rsidRPr="00C64732">
        <w:rPr>
          <w:rFonts w:ascii="Arial" w:hAnsi="Arial"/>
          <w:lang w:val="es-ES_tradnl"/>
        </w:rPr>
        <w:t xml:space="preserve">: “la comunidad </w:t>
      </w:r>
      <w:proofErr w:type="spellStart"/>
      <w:r w:rsidRPr="00C64732">
        <w:rPr>
          <w:rFonts w:ascii="Arial" w:hAnsi="Arial"/>
          <w:lang w:val="es-ES_tradnl"/>
        </w:rPr>
        <w:t>desobrada</w:t>
      </w:r>
      <w:proofErr w:type="spellEnd"/>
      <w:r w:rsidRPr="00C64732">
        <w:rPr>
          <w:rFonts w:ascii="Arial" w:hAnsi="Arial"/>
          <w:lang w:val="es-ES_tradnl"/>
        </w:rPr>
        <w:t xml:space="preserve"> sobre la que Jean-Luc Nancy nos ha llamado a reflexionar –escribía por aquél entonces </w:t>
      </w:r>
      <w:proofErr w:type="spellStart"/>
      <w:r w:rsidRPr="00C64732">
        <w:rPr>
          <w:rFonts w:ascii="Arial" w:hAnsi="Arial"/>
          <w:lang w:val="es-ES_tradnl"/>
        </w:rPr>
        <w:t>Blanchot</w:t>
      </w:r>
      <w:proofErr w:type="spellEnd"/>
      <w:r w:rsidRPr="00C64732">
        <w:rPr>
          <w:rFonts w:ascii="Arial" w:hAnsi="Arial"/>
          <w:lang w:val="es-ES_tradnl"/>
        </w:rPr>
        <w:t>- nos ha llamado a reflexionar sin que nos esté permitido detenernos allí”</w:t>
      </w:r>
      <w:r w:rsidRPr="00C64732">
        <w:rPr>
          <w:rStyle w:val="FootnoteReference"/>
          <w:rFonts w:ascii="Arial" w:hAnsi="Arial"/>
          <w:lang w:val="es-ES_tradnl"/>
        </w:rPr>
        <w:footnoteReference w:id="3"/>
      </w:r>
      <w:r w:rsidRPr="00C64732">
        <w:rPr>
          <w:rFonts w:ascii="Arial" w:hAnsi="Arial"/>
          <w:lang w:val="es-ES_tradnl"/>
        </w:rPr>
        <w:t>.</w:t>
      </w:r>
    </w:p>
    <w:p w:rsidR="00FE7A96" w:rsidRDefault="00C64732" w:rsidP="00C64732">
      <w:pPr>
        <w:spacing w:line="360" w:lineRule="auto"/>
        <w:jc w:val="both"/>
        <w:rPr>
          <w:rFonts w:ascii="Arial" w:hAnsi="Arial"/>
          <w:lang w:val="es-ES_tradnl"/>
        </w:rPr>
      </w:pPr>
      <w:r w:rsidRPr="00C64732">
        <w:rPr>
          <w:rFonts w:ascii="Arial" w:hAnsi="Arial"/>
          <w:lang w:val="es-ES_tradnl"/>
        </w:rPr>
        <w:t xml:space="preserve">No detenerse allí significaba, para </w:t>
      </w:r>
      <w:proofErr w:type="spellStart"/>
      <w:r w:rsidRPr="00C64732">
        <w:rPr>
          <w:rFonts w:ascii="Arial" w:hAnsi="Arial"/>
          <w:lang w:val="es-ES_tradnl"/>
        </w:rPr>
        <w:t>Blanchot</w:t>
      </w:r>
      <w:proofErr w:type="spellEnd"/>
      <w:r w:rsidRPr="00C64732">
        <w:rPr>
          <w:rFonts w:ascii="Arial" w:hAnsi="Arial"/>
          <w:lang w:val="es-ES_tradnl"/>
        </w:rPr>
        <w:t xml:space="preserve">, ir más lejos. E ir más lejos significaba, explica Nancy, ir más lejos de lo que él mismo había propuesto bajo el nombre de la comunidad </w:t>
      </w:r>
      <w:proofErr w:type="spellStart"/>
      <w:r w:rsidRPr="00C64732">
        <w:rPr>
          <w:rFonts w:ascii="Arial" w:hAnsi="Arial"/>
          <w:lang w:val="es-ES_tradnl"/>
        </w:rPr>
        <w:t>de</w:t>
      </w:r>
      <w:r w:rsidR="00FE7A96">
        <w:rPr>
          <w:rFonts w:ascii="Arial" w:hAnsi="Arial"/>
          <w:lang w:val="es-ES_tradnl"/>
        </w:rPr>
        <w:t>sobrada</w:t>
      </w:r>
      <w:proofErr w:type="spellEnd"/>
      <w:r w:rsidR="00FE7A96">
        <w:rPr>
          <w:rFonts w:ascii="Arial" w:hAnsi="Arial"/>
          <w:lang w:val="es-ES_tradnl"/>
        </w:rPr>
        <w:t xml:space="preserve">. Significaba </w:t>
      </w:r>
      <w:r w:rsidRPr="00C64732">
        <w:rPr>
          <w:rFonts w:ascii="Arial" w:hAnsi="Arial"/>
          <w:lang w:val="es-ES_tradnl"/>
        </w:rPr>
        <w:t>extender la reflexión de Nancy, la reflexión que Nancy había hecho, no permitirse detenerse allí, pues, para ampliar los lí</w:t>
      </w:r>
      <w:r w:rsidR="00FE7A96">
        <w:rPr>
          <w:rFonts w:ascii="Arial" w:hAnsi="Arial"/>
          <w:lang w:val="es-ES_tradnl"/>
        </w:rPr>
        <w:t>mites de lo que la comunidad es o</w:t>
      </w:r>
      <w:r w:rsidRPr="00C64732">
        <w:rPr>
          <w:rFonts w:ascii="Arial" w:hAnsi="Arial"/>
          <w:lang w:val="es-ES_tradnl"/>
        </w:rPr>
        <w:t xml:space="preserve"> puede ser</w:t>
      </w:r>
    </w:p>
    <w:p w:rsidR="00FE7A96" w:rsidRDefault="00C64732" w:rsidP="00C64732">
      <w:pPr>
        <w:spacing w:line="360" w:lineRule="auto"/>
        <w:jc w:val="both"/>
        <w:rPr>
          <w:rFonts w:ascii="Arial" w:hAnsi="Arial"/>
          <w:lang w:val="es-ES_tradnl"/>
        </w:rPr>
      </w:pPr>
      <w:r w:rsidRPr="00C64732">
        <w:rPr>
          <w:rFonts w:ascii="Arial" w:hAnsi="Arial"/>
          <w:lang w:val="es-ES_tradnl"/>
        </w:rPr>
        <w:t>La serie de ensayos a la que nos referimos comien</w:t>
      </w:r>
      <w:r w:rsidR="00FE7A96">
        <w:rPr>
          <w:rFonts w:ascii="Arial" w:hAnsi="Arial"/>
          <w:lang w:val="es-ES_tradnl"/>
        </w:rPr>
        <w:t xml:space="preserve">za </w:t>
      </w:r>
      <w:r w:rsidRPr="00C64732">
        <w:rPr>
          <w:rFonts w:ascii="Arial" w:hAnsi="Arial"/>
          <w:lang w:val="es-ES_tradnl"/>
        </w:rPr>
        <w:t xml:space="preserve">antes que la aparición de </w:t>
      </w:r>
      <w:r w:rsidRPr="00C64732">
        <w:rPr>
          <w:rFonts w:ascii="Arial" w:hAnsi="Arial"/>
          <w:i/>
          <w:lang w:val="es-ES_tradnl"/>
        </w:rPr>
        <w:t xml:space="preserve">La comunidad </w:t>
      </w:r>
      <w:proofErr w:type="spellStart"/>
      <w:r w:rsidRPr="00C64732">
        <w:rPr>
          <w:rFonts w:ascii="Arial" w:hAnsi="Arial"/>
          <w:i/>
          <w:lang w:val="es-ES_tradnl"/>
        </w:rPr>
        <w:t>desobrada</w:t>
      </w:r>
      <w:proofErr w:type="spellEnd"/>
      <w:r w:rsidRPr="00C64732">
        <w:rPr>
          <w:rFonts w:ascii="Arial" w:hAnsi="Arial"/>
          <w:lang w:val="es-ES_tradnl"/>
        </w:rPr>
        <w:t>, cuya primera versión se remonta a la primav</w:t>
      </w:r>
      <w:r w:rsidR="00FE7A96">
        <w:rPr>
          <w:rFonts w:ascii="Arial" w:hAnsi="Arial"/>
          <w:lang w:val="es-ES_tradnl"/>
        </w:rPr>
        <w:t>era de 1983, y cuya publicación</w:t>
      </w:r>
      <w:r w:rsidRPr="00C64732">
        <w:rPr>
          <w:rFonts w:ascii="Arial" w:hAnsi="Arial"/>
          <w:lang w:val="es-ES_tradnl"/>
        </w:rPr>
        <w:t xml:space="preserve"> de esa primera versión, no fue en forma de libro, la forma que adoptaría después, cuando es compilada junto con otros textos de Nancy, sino en forma de artículo para una revista: la revista </w:t>
      </w:r>
      <w:proofErr w:type="spellStart"/>
      <w:r w:rsidRPr="00C64732">
        <w:rPr>
          <w:rFonts w:ascii="Arial" w:hAnsi="Arial"/>
          <w:i/>
          <w:lang w:val="es-ES_tradnl"/>
        </w:rPr>
        <w:t>Aléa</w:t>
      </w:r>
      <w:proofErr w:type="spellEnd"/>
      <w:r w:rsidRPr="00C64732">
        <w:rPr>
          <w:rFonts w:ascii="Arial" w:hAnsi="Arial"/>
          <w:lang w:val="es-ES_tradnl"/>
        </w:rPr>
        <w:t xml:space="preserve">. Pero esa serie de ensayos, decíamos, comienza con Bataille: unas tres o cuatro décadas antes de la década del 80. Bataille es, entonces, el primero que dedica más de una página al tema de la comunidad. A diferencia de Nancy, y de </w:t>
      </w:r>
      <w:proofErr w:type="spellStart"/>
      <w:r w:rsidRPr="00C64732">
        <w:rPr>
          <w:rFonts w:ascii="Arial" w:hAnsi="Arial"/>
          <w:lang w:val="es-ES_tradnl"/>
        </w:rPr>
        <w:t>Blanchot</w:t>
      </w:r>
      <w:proofErr w:type="spellEnd"/>
      <w:r w:rsidRPr="00C64732">
        <w:rPr>
          <w:rFonts w:ascii="Arial" w:hAnsi="Arial"/>
          <w:lang w:val="es-ES_tradnl"/>
        </w:rPr>
        <w:t xml:space="preserve">, que responde al artículo de Nancy en el mismo año con su libro La comunidad inconfesable, segundo libro de esa serie (o tercero, si contamos a Bataille), y cuya primera parte es, en efecto, una respuesta explícita al texto de Nancy; a diferencia de ambos, entonces, Bataille no destina un solo y único texto al tema: expande sus reflexiones en más de una página y en más de un texto, y el tema aparece, ciertamente, diseminado a lo largo de su obra. “…el sentimiento de comunidad ligándome a Nietzsche” es, a decir verdad, sólo una de las tantas reflexiones con las que Bataille aborda el tema. Hay otras: la comunidad de los que no tienen comunidad, la comunidad de los amantes, objeto central de la segunda parte del libro de </w:t>
      </w:r>
      <w:proofErr w:type="spellStart"/>
      <w:r w:rsidRPr="00C64732">
        <w:rPr>
          <w:rFonts w:ascii="Arial" w:hAnsi="Arial"/>
          <w:lang w:val="es-ES_tradnl"/>
        </w:rPr>
        <w:t>Blanchot</w:t>
      </w:r>
      <w:proofErr w:type="spellEnd"/>
      <w:r w:rsidRPr="00C64732">
        <w:rPr>
          <w:rFonts w:ascii="Arial" w:hAnsi="Arial"/>
          <w:lang w:val="es-ES_tradnl"/>
        </w:rPr>
        <w:t xml:space="preserve">, son quizás las más resonantes </w:t>
      </w:r>
    </w:p>
    <w:p w:rsidR="00C64732" w:rsidRPr="00C64732" w:rsidRDefault="00C64732" w:rsidP="00C64732">
      <w:pPr>
        <w:spacing w:line="360" w:lineRule="auto"/>
        <w:jc w:val="both"/>
        <w:rPr>
          <w:rFonts w:ascii="Arial" w:hAnsi="Arial"/>
          <w:lang w:val="es-ES_tradnl"/>
        </w:rPr>
      </w:pPr>
      <w:r w:rsidRPr="00C64732">
        <w:rPr>
          <w:rFonts w:ascii="Arial" w:hAnsi="Arial"/>
          <w:lang w:val="es-ES_tradnl"/>
        </w:rPr>
        <w:t>La frase de Bataille, el sentimiento de comunidad que lo ligaba a Nietzsche, o deberíamos decir que lo liga, que siempre lo va a ligar, que siempre y aún lo va a ligar en su ausencia, en su muerte, después de su muerte, después de la muerte de ambos, esa frase, según Nancy, venía a concluir el último desarrollo del texto: “la comunidad ni comunal ni estrictamente política de estos…”. La cita completa de la reflexión de Bataille es, sin embargo, más larga:</w:t>
      </w:r>
    </w:p>
    <w:p w:rsidR="00C64732" w:rsidRPr="00C64732" w:rsidRDefault="00C64732" w:rsidP="00C64732">
      <w:pPr>
        <w:spacing w:line="360" w:lineRule="auto"/>
        <w:ind w:left="567" w:right="567"/>
        <w:jc w:val="both"/>
        <w:rPr>
          <w:rFonts w:ascii="Arial" w:hAnsi="Arial"/>
          <w:lang w:val="es-ES_tradnl"/>
        </w:rPr>
      </w:pPr>
      <w:r w:rsidRPr="00C64732">
        <w:rPr>
          <w:rFonts w:ascii="Arial" w:hAnsi="Arial"/>
          <w:lang w:val="es-ES_tradnl"/>
        </w:rPr>
        <w:t>Hablé de la comunidad como un existente: Nietzsche refirió a ella sus afirmaciones pero estuvo solo (…) El deseo de comunicar nace en mí de un sentimiento de comunidad que me vincula a Nietzsche, no de una originalidad aislada</w:t>
      </w:r>
      <w:r w:rsidRPr="00C64732">
        <w:rPr>
          <w:rStyle w:val="FootnoteReference"/>
          <w:rFonts w:ascii="Arial" w:hAnsi="Arial"/>
          <w:lang w:val="es-ES_tradnl"/>
        </w:rPr>
        <w:footnoteReference w:id="4"/>
      </w:r>
      <w:r w:rsidRPr="00C64732">
        <w:rPr>
          <w:rFonts w:ascii="Arial" w:hAnsi="Arial"/>
          <w:lang w:val="es-ES_tradnl"/>
        </w:rPr>
        <w:t>.</w:t>
      </w:r>
    </w:p>
    <w:p w:rsidR="00C64732" w:rsidRPr="00C64732" w:rsidRDefault="00C64732" w:rsidP="00C64732">
      <w:pPr>
        <w:spacing w:line="360" w:lineRule="auto"/>
        <w:jc w:val="both"/>
        <w:rPr>
          <w:rFonts w:ascii="Arial" w:hAnsi="Arial"/>
          <w:lang w:val="es-ES_tradnl"/>
        </w:rPr>
      </w:pPr>
      <w:r w:rsidRPr="00C64732">
        <w:rPr>
          <w:rFonts w:ascii="Arial" w:hAnsi="Arial"/>
          <w:lang w:val="es-ES_tradnl"/>
        </w:rPr>
        <w:t xml:space="preserve">Bataille agrega a la serie de ensayos sobre el tema de la comunidad un nuevo eslabón, Nietzsche: “Hable de la comunidad como un existente: </w:t>
      </w:r>
      <w:r w:rsidRPr="00C64732">
        <w:rPr>
          <w:rFonts w:ascii="Arial" w:hAnsi="Arial"/>
          <w:i/>
          <w:lang w:val="es-ES_tradnl"/>
        </w:rPr>
        <w:t>Nietzsche refirió a ella sus afirmaciones</w:t>
      </w:r>
      <w:r w:rsidRPr="00C64732">
        <w:rPr>
          <w:rFonts w:ascii="Arial" w:hAnsi="Arial"/>
          <w:lang w:val="es-ES_tradnl"/>
        </w:rPr>
        <w:t xml:space="preserve">, pero estuvo solo”. Para Bataille, Nietzsche, aunque solo, había ya anticipado el debate que reverdece en los 80. Antes que Bataille, que </w:t>
      </w:r>
      <w:proofErr w:type="spellStart"/>
      <w:r w:rsidRPr="00C64732">
        <w:rPr>
          <w:rFonts w:ascii="Arial" w:hAnsi="Arial"/>
          <w:lang w:val="es-ES_tradnl"/>
        </w:rPr>
        <w:t>Blanchot</w:t>
      </w:r>
      <w:proofErr w:type="spellEnd"/>
      <w:r w:rsidRPr="00C64732">
        <w:rPr>
          <w:rFonts w:ascii="Arial" w:hAnsi="Arial"/>
          <w:lang w:val="es-ES_tradnl"/>
        </w:rPr>
        <w:t xml:space="preserve"> y que Nancy, estuvo Nietzsche.  Y, podemos agregar entonces contra Bataille, no estuvo verdaderamente solo. O estuvo solo en su sentido restringido: estuvo solo, pero sólo para su tiempo, para el tiempo en el que vivió y escribió, solo, esas afirmaciones.</w:t>
      </w:r>
    </w:p>
    <w:p w:rsidR="00C64732" w:rsidRPr="00C64732" w:rsidRDefault="00C64732" w:rsidP="00C64732">
      <w:pPr>
        <w:spacing w:line="360" w:lineRule="auto"/>
        <w:jc w:val="both"/>
        <w:rPr>
          <w:rFonts w:ascii="Arial" w:hAnsi="Arial"/>
          <w:lang w:val="es-ES_tradnl"/>
        </w:rPr>
      </w:pPr>
      <w:r w:rsidRPr="00C64732">
        <w:rPr>
          <w:rFonts w:ascii="Arial" w:hAnsi="Arial"/>
          <w:lang w:val="es-ES_tradnl"/>
        </w:rPr>
        <w:t xml:space="preserve">Si no hubo “originalidad aislada”, entonces, es porque la reflexión de Bataille sobre la comunidad, sea como comunidad de los amantes, como comunidad de los amigos, ese deseo de comunicar el sentimiento de comunidad nació ya, y antes que en él, en Nietzsche. Y se expandió varias décadas después, más allá de Bataille y de Nietzsche: no sólo ligó a ambos, ligó también, en otro tiempo y en otro lugar, a Nancy y </w:t>
      </w:r>
      <w:proofErr w:type="spellStart"/>
      <w:r w:rsidRPr="00C64732">
        <w:rPr>
          <w:rFonts w:ascii="Arial" w:hAnsi="Arial"/>
          <w:lang w:val="es-ES_tradnl"/>
        </w:rPr>
        <w:t>Blanchot</w:t>
      </w:r>
      <w:proofErr w:type="spellEnd"/>
      <w:r w:rsidRPr="00C64732">
        <w:rPr>
          <w:rFonts w:ascii="Arial" w:hAnsi="Arial"/>
          <w:lang w:val="es-ES_tradnl"/>
        </w:rPr>
        <w:t xml:space="preserve">, a Nancy y a </w:t>
      </w:r>
      <w:proofErr w:type="spellStart"/>
      <w:r w:rsidRPr="00C64732">
        <w:rPr>
          <w:rFonts w:ascii="Arial" w:hAnsi="Arial"/>
          <w:lang w:val="es-ES_tradnl"/>
        </w:rPr>
        <w:t>Blanchot</w:t>
      </w:r>
      <w:proofErr w:type="spellEnd"/>
      <w:r w:rsidRPr="00C64732">
        <w:rPr>
          <w:rFonts w:ascii="Arial" w:hAnsi="Arial"/>
          <w:lang w:val="es-ES_tradnl"/>
        </w:rPr>
        <w:t xml:space="preserve"> con Bataille y con Nietzsche, a Nancy y a </w:t>
      </w:r>
      <w:proofErr w:type="spellStart"/>
      <w:r w:rsidRPr="00C64732">
        <w:rPr>
          <w:rFonts w:ascii="Arial" w:hAnsi="Arial"/>
          <w:lang w:val="es-ES_tradnl"/>
        </w:rPr>
        <w:t>Blanchot</w:t>
      </w:r>
      <w:proofErr w:type="spellEnd"/>
      <w:r w:rsidRPr="00C64732">
        <w:rPr>
          <w:rFonts w:ascii="Arial" w:hAnsi="Arial"/>
          <w:lang w:val="es-ES_tradnl"/>
        </w:rPr>
        <w:t xml:space="preserve"> entre sí. Y los ligó, en efecto, para formar, entre ellos, una comunidad. Curiosa, o paradójicamente, lo que formó comunidad entre Nietzsche, Bataille, Nancy y </w:t>
      </w:r>
      <w:proofErr w:type="spellStart"/>
      <w:r w:rsidRPr="00C64732">
        <w:rPr>
          <w:rFonts w:ascii="Arial" w:hAnsi="Arial"/>
          <w:lang w:val="es-ES_tradnl"/>
        </w:rPr>
        <w:t>Blanchot</w:t>
      </w:r>
      <w:proofErr w:type="spellEnd"/>
      <w:r w:rsidRPr="00C64732">
        <w:rPr>
          <w:rFonts w:ascii="Arial" w:hAnsi="Arial"/>
          <w:lang w:val="es-ES_tradnl"/>
        </w:rPr>
        <w:t xml:space="preserve"> fue la comunidad como tema, como objeto de reflexión. El asunto de la comunidad hizo comunidad. Sus escritos sobre la comunidad formaron finalmente una comunidad: una comunidad de textos, de escritos o de ensayos sobre la comunidad. Ahora bien: ¿es ésta comunidad “la comunidad ni comunal ni estrictamente política” a la que se refiere Nancy? ¿Es realmente ella? Es necesario, pues, </w:t>
      </w:r>
      <w:r w:rsidRPr="00C64732">
        <w:rPr>
          <w:rFonts w:ascii="Arial" w:hAnsi="Arial"/>
          <w:i/>
          <w:lang w:val="es-ES_tradnl"/>
        </w:rPr>
        <w:t>ir más lejos</w:t>
      </w:r>
      <w:r w:rsidRPr="00C64732">
        <w:rPr>
          <w:rFonts w:ascii="Arial" w:hAnsi="Arial"/>
          <w:lang w:val="es-ES_tradnl"/>
        </w:rPr>
        <w:t>:</w:t>
      </w:r>
    </w:p>
    <w:p w:rsidR="00C64732" w:rsidRPr="00C64732" w:rsidRDefault="00C64732" w:rsidP="00C64732">
      <w:pPr>
        <w:spacing w:line="360" w:lineRule="auto"/>
        <w:ind w:left="567" w:right="567"/>
        <w:jc w:val="both"/>
        <w:rPr>
          <w:rFonts w:ascii="Arial" w:hAnsi="Arial"/>
          <w:lang w:val="es-ES_tradnl"/>
        </w:rPr>
      </w:pPr>
      <w:r w:rsidRPr="00C64732">
        <w:rPr>
          <w:rFonts w:ascii="Arial" w:hAnsi="Arial"/>
          <w:lang w:val="es-ES_tradnl"/>
        </w:rPr>
        <w:t xml:space="preserve">Puedo imaginar que esta formula retoma, a su manera, la última frase del texto que yo había publicado en </w:t>
      </w:r>
      <w:proofErr w:type="spellStart"/>
      <w:r w:rsidRPr="00C64732">
        <w:rPr>
          <w:rFonts w:ascii="Arial" w:hAnsi="Arial"/>
          <w:lang w:val="es-ES_tradnl"/>
        </w:rPr>
        <w:t>Aléa</w:t>
      </w:r>
      <w:proofErr w:type="spellEnd"/>
      <w:r w:rsidRPr="00C64732">
        <w:rPr>
          <w:rFonts w:ascii="Arial" w:hAnsi="Arial"/>
          <w:lang w:val="es-ES_tradnl"/>
        </w:rPr>
        <w:t xml:space="preserve">. Esta decía: “no podemos sino ir más lejos” para sugerir que debíamos prolongar lo que acaba de citar de Bataille: el “sentimiento de comunidad ligándome a Nietzsche. Estas palabras venían a concluir el último desarrollo del texto: la comunidad ni comunal ni estrictamente política de estos y de lo que se comunica(n) en el suspenso o en la interrupción de transmisiones, de continuidades de intercambio –lo que yo designaba con la palabra “escritura” según un sentido de la palabra proveniente del mismo </w:t>
      </w:r>
      <w:proofErr w:type="spellStart"/>
      <w:r w:rsidRPr="00C64732">
        <w:rPr>
          <w:rFonts w:ascii="Arial" w:hAnsi="Arial"/>
          <w:lang w:val="es-ES_tradnl"/>
        </w:rPr>
        <w:t>Blanchot</w:t>
      </w:r>
      <w:proofErr w:type="spellEnd"/>
      <w:r w:rsidRPr="00C64732">
        <w:rPr>
          <w:rFonts w:ascii="Arial" w:hAnsi="Arial"/>
          <w:lang w:val="es-ES_tradnl"/>
        </w:rPr>
        <w:t xml:space="preserve"> y de Derrida-</w:t>
      </w:r>
      <w:r w:rsidRPr="00C64732">
        <w:rPr>
          <w:rStyle w:val="FootnoteReference"/>
          <w:rFonts w:ascii="Arial" w:hAnsi="Arial"/>
          <w:lang w:val="es-ES_tradnl"/>
        </w:rPr>
        <w:footnoteReference w:id="5"/>
      </w:r>
      <w:r w:rsidRPr="00C64732">
        <w:rPr>
          <w:rFonts w:ascii="Arial" w:hAnsi="Arial"/>
          <w:lang w:val="es-ES_tradnl"/>
        </w:rPr>
        <w:t>.</w:t>
      </w:r>
    </w:p>
    <w:p w:rsidR="00C64732" w:rsidRPr="00C64732" w:rsidRDefault="00C64732" w:rsidP="00C64732">
      <w:pPr>
        <w:spacing w:line="360" w:lineRule="auto"/>
        <w:jc w:val="both"/>
        <w:rPr>
          <w:rFonts w:ascii="Arial" w:hAnsi="Arial"/>
          <w:lang w:val="es-ES_tradnl"/>
        </w:rPr>
      </w:pPr>
      <w:r w:rsidRPr="00C64732">
        <w:rPr>
          <w:rFonts w:ascii="Arial" w:hAnsi="Arial"/>
          <w:lang w:val="es-ES_tradnl"/>
        </w:rPr>
        <w:t xml:space="preserve">Casi terminando el párrafo, Nancy parece, efectivamente, ir más lejos: “lo que yo designaba con la palabra “escritura”, según un sentido de la palabra proveniente del mismo </w:t>
      </w:r>
      <w:proofErr w:type="spellStart"/>
      <w:r w:rsidRPr="00C64732">
        <w:rPr>
          <w:rFonts w:ascii="Arial" w:hAnsi="Arial"/>
          <w:lang w:val="es-ES_tradnl"/>
        </w:rPr>
        <w:t>Blanchot</w:t>
      </w:r>
      <w:proofErr w:type="spellEnd"/>
      <w:r w:rsidRPr="00C64732">
        <w:rPr>
          <w:rFonts w:ascii="Arial" w:hAnsi="Arial"/>
          <w:lang w:val="es-ES_tradnl"/>
        </w:rPr>
        <w:t xml:space="preserve"> y Derrida”. Sin embargo, en una nota al pie, agrega: “ellos mismos (</w:t>
      </w:r>
      <w:proofErr w:type="spellStart"/>
      <w:r w:rsidRPr="00C64732">
        <w:rPr>
          <w:rFonts w:ascii="Arial" w:hAnsi="Arial"/>
          <w:lang w:val="es-ES_tradnl"/>
        </w:rPr>
        <w:t>Blanchot</w:t>
      </w:r>
      <w:proofErr w:type="spellEnd"/>
      <w:r w:rsidRPr="00C64732">
        <w:rPr>
          <w:rFonts w:ascii="Arial" w:hAnsi="Arial"/>
          <w:lang w:val="es-ES_tradnl"/>
        </w:rPr>
        <w:t xml:space="preserve"> y Derrida) conducidos hacia ese valor de la palabra </w:t>
      </w:r>
      <w:r w:rsidRPr="00C64732">
        <w:rPr>
          <w:rFonts w:ascii="Arial" w:hAnsi="Arial"/>
          <w:i/>
          <w:lang w:val="es-ES_tradnl"/>
        </w:rPr>
        <w:t>a través de canales de transmisión abiertos</w:t>
      </w:r>
      <w:r w:rsidRPr="00C64732">
        <w:rPr>
          <w:rFonts w:ascii="Arial" w:hAnsi="Arial"/>
          <w:lang w:val="es-ES_tradnl"/>
        </w:rPr>
        <w:t xml:space="preserve"> desde hace algún tiempo –recordemos El grado cero de la escritura de Roland Barthes, en 1953- y cuya historia precisa queda por hacer”</w:t>
      </w:r>
      <w:r w:rsidRPr="00C64732">
        <w:rPr>
          <w:rStyle w:val="FootnoteReference"/>
          <w:rFonts w:ascii="Arial" w:hAnsi="Arial"/>
          <w:lang w:val="es-ES_tradnl"/>
        </w:rPr>
        <w:footnoteReference w:id="6"/>
      </w:r>
      <w:r w:rsidRPr="00C64732">
        <w:rPr>
          <w:rFonts w:ascii="Arial" w:hAnsi="Arial"/>
          <w:lang w:val="es-ES_tradnl"/>
        </w:rPr>
        <w:t>. Otra vez, pues, un tema, la escritura, haciendo comunidad. No ya, aquí, la comunidad como tema, sino la escritura como tema. Los canales de transmisión abiertos desde hace algún tiempo, abiertos por Barthes y su texto El grado cero de la escritura</w:t>
      </w:r>
      <w:r w:rsidRPr="00C64732">
        <w:rPr>
          <w:rStyle w:val="FootnoteReference"/>
          <w:rFonts w:ascii="Arial" w:hAnsi="Arial"/>
          <w:lang w:val="es-ES_tradnl"/>
        </w:rPr>
        <w:footnoteReference w:id="7"/>
      </w:r>
      <w:r w:rsidRPr="00C64732">
        <w:rPr>
          <w:rFonts w:ascii="Arial" w:hAnsi="Arial"/>
          <w:lang w:val="es-ES_tradnl"/>
        </w:rPr>
        <w:t xml:space="preserve">, condujeron a ese valor de la palabra, a ese valor de la palabra escritura, que ahora retoma Nancy, y que lo conduce, a Nancy, a Derrida y </w:t>
      </w:r>
      <w:proofErr w:type="spellStart"/>
      <w:r w:rsidRPr="00C64732">
        <w:rPr>
          <w:rFonts w:ascii="Arial" w:hAnsi="Arial"/>
          <w:lang w:val="es-ES_tradnl"/>
        </w:rPr>
        <w:t>Blanchot</w:t>
      </w:r>
      <w:proofErr w:type="spellEnd"/>
      <w:r w:rsidRPr="00C64732">
        <w:rPr>
          <w:rFonts w:ascii="Arial" w:hAnsi="Arial"/>
          <w:lang w:val="es-ES_tradnl"/>
        </w:rPr>
        <w:t xml:space="preserve">. </w:t>
      </w:r>
      <w:proofErr w:type="spellStart"/>
      <w:r w:rsidRPr="00C64732">
        <w:rPr>
          <w:rFonts w:ascii="Arial" w:hAnsi="Arial"/>
          <w:lang w:val="es-ES_tradnl"/>
        </w:rPr>
        <w:t>Blanchot</w:t>
      </w:r>
      <w:proofErr w:type="spellEnd"/>
      <w:r w:rsidRPr="00C64732">
        <w:rPr>
          <w:rFonts w:ascii="Arial" w:hAnsi="Arial"/>
          <w:lang w:val="es-ES_tradnl"/>
        </w:rPr>
        <w:t xml:space="preserve">, Derrida y Barthes parecen, entonces, haber formado también comunidad: pero esta vez conducidos, ellos, por otro tema: la escritura. </w:t>
      </w:r>
    </w:p>
    <w:p w:rsidR="00C64732" w:rsidRPr="00C64732" w:rsidRDefault="00C64732" w:rsidP="00C64732">
      <w:pPr>
        <w:spacing w:line="360" w:lineRule="auto"/>
        <w:jc w:val="both"/>
        <w:rPr>
          <w:rFonts w:ascii="Arial" w:hAnsi="Arial"/>
          <w:lang w:val="es-ES_tradnl"/>
        </w:rPr>
      </w:pPr>
      <w:r w:rsidRPr="00C64732">
        <w:rPr>
          <w:rFonts w:ascii="Arial" w:hAnsi="Arial"/>
          <w:lang w:val="es-ES_tradnl"/>
        </w:rPr>
        <w:t xml:space="preserve">Ahora bien: ¿cuál ese valor de la palabra escritura? ¿Cuál es el valor que habría portado la palabra escritura y que, portando ese valor, habría hecho comunidad en </w:t>
      </w:r>
      <w:proofErr w:type="spellStart"/>
      <w:r w:rsidRPr="00C64732">
        <w:rPr>
          <w:rFonts w:ascii="Arial" w:hAnsi="Arial"/>
          <w:lang w:val="es-ES_tradnl"/>
        </w:rPr>
        <w:t>Blanchot</w:t>
      </w:r>
      <w:proofErr w:type="spellEnd"/>
      <w:r w:rsidRPr="00C64732">
        <w:rPr>
          <w:rFonts w:ascii="Arial" w:hAnsi="Arial"/>
          <w:lang w:val="es-ES_tradnl"/>
        </w:rPr>
        <w:t xml:space="preserve">, Derrida y Barthes? En ese valor, en efecto, se juega el verdadero valor de la palabra comunidad. Verdadero, sin embargo, no porque responda a la estructura de la verdad, no porque responda al ser de la comunidad (pues ¿hay ser de la comunidad? ¿Lo hay verdaderamente, por lo menos en (o después de) la propuesta de Nancy, de </w:t>
      </w:r>
      <w:proofErr w:type="spellStart"/>
      <w:r w:rsidRPr="00C64732">
        <w:rPr>
          <w:rFonts w:ascii="Arial" w:hAnsi="Arial"/>
          <w:lang w:val="es-ES_tradnl"/>
        </w:rPr>
        <w:t>Blanchot</w:t>
      </w:r>
      <w:proofErr w:type="spellEnd"/>
      <w:r w:rsidRPr="00C64732">
        <w:rPr>
          <w:rFonts w:ascii="Arial" w:hAnsi="Arial"/>
          <w:lang w:val="es-ES_tradnl"/>
        </w:rPr>
        <w:t xml:space="preserve"> de </w:t>
      </w:r>
      <w:proofErr w:type="spellStart"/>
      <w:r w:rsidRPr="00C64732">
        <w:rPr>
          <w:rFonts w:ascii="Arial" w:hAnsi="Arial"/>
          <w:lang w:val="es-ES_tradnl"/>
        </w:rPr>
        <w:t>Nietzche</w:t>
      </w:r>
      <w:proofErr w:type="spellEnd"/>
      <w:r w:rsidRPr="00C64732">
        <w:rPr>
          <w:rFonts w:ascii="Arial" w:hAnsi="Arial"/>
          <w:lang w:val="es-ES_tradnl"/>
        </w:rPr>
        <w:t xml:space="preserve"> y de Bataille, es decir en ese conjunto de textos sobre la comunidad?), sino porque responde, en todo caso, al punto de partida a partir del cual </w:t>
      </w:r>
      <w:proofErr w:type="spellStart"/>
      <w:r w:rsidRPr="00C64732">
        <w:rPr>
          <w:rFonts w:ascii="Arial" w:hAnsi="Arial"/>
          <w:lang w:val="es-ES_tradnl"/>
        </w:rPr>
        <w:t>Blanchot</w:t>
      </w:r>
      <w:proofErr w:type="spellEnd"/>
      <w:r w:rsidRPr="00C64732">
        <w:rPr>
          <w:rFonts w:ascii="Arial" w:hAnsi="Arial"/>
          <w:lang w:val="es-ES_tradnl"/>
        </w:rPr>
        <w:t xml:space="preserve"> propone, luego, “ir más lejos”. En otras palabras: si allí se juega el verdadero valor de la palabra comunidad / escritura es porque, con él, o a partir de él, fue lo más lejos que llegó Nancy en </w:t>
      </w:r>
      <w:r w:rsidRPr="00C64732">
        <w:rPr>
          <w:rFonts w:ascii="Arial" w:hAnsi="Arial"/>
          <w:i/>
          <w:lang w:val="es-ES_tradnl"/>
        </w:rPr>
        <w:t xml:space="preserve">La comunidad </w:t>
      </w:r>
      <w:proofErr w:type="spellStart"/>
      <w:r w:rsidRPr="00C64732">
        <w:rPr>
          <w:rFonts w:ascii="Arial" w:hAnsi="Arial"/>
          <w:i/>
          <w:lang w:val="es-ES_tradnl"/>
        </w:rPr>
        <w:t>desobrada</w:t>
      </w:r>
      <w:proofErr w:type="spellEnd"/>
      <w:r w:rsidRPr="00C64732">
        <w:rPr>
          <w:rFonts w:ascii="Arial" w:hAnsi="Arial"/>
          <w:lang w:val="es-ES_tradnl"/>
        </w:rPr>
        <w:t>, texto que inicia el debate de los 80, que origina la comunidad formada por ese debate aunque, ambos, comunidad y debate, hayan sido, en realidad, ya iniciado antes por Bataille y Nietzsche.</w:t>
      </w:r>
    </w:p>
    <w:p w:rsidR="00C64732" w:rsidRPr="00C64732" w:rsidRDefault="00C64732" w:rsidP="00C64732">
      <w:pPr>
        <w:spacing w:line="360" w:lineRule="auto"/>
        <w:jc w:val="both"/>
        <w:rPr>
          <w:rFonts w:ascii="Arial" w:hAnsi="Arial"/>
          <w:lang w:val="es-ES_tradnl"/>
        </w:rPr>
      </w:pPr>
      <w:r w:rsidRPr="00C64732">
        <w:rPr>
          <w:rFonts w:ascii="Arial" w:hAnsi="Arial"/>
          <w:lang w:val="es-ES_tradnl"/>
        </w:rPr>
        <w:t>Nancy precisa, entonces, el valor de esa palabra crucial, es decir de la palabra escritura:</w:t>
      </w:r>
    </w:p>
    <w:p w:rsidR="00C64732" w:rsidRPr="00C64732" w:rsidRDefault="00C64732" w:rsidP="00C64732">
      <w:pPr>
        <w:spacing w:line="360" w:lineRule="auto"/>
        <w:ind w:left="567" w:right="567"/>
        <w:jc w:val="both"/>
        <w:rPr>
          <w:rFonts w:ascii="Arial" w:hAnsi="Arial"/>
          <w:lang w:val="es-ES_tradnl"/>
        </w:rPr>
      </w:pPr>
      <w:r w:rsidRPr="00C64732">
        <w:rPr>
          <w:rFonts w:ascii="Arial" w:hAnsi="Arial"/>
          <w:lang w:val="es-ES_tradnl"/>
        </w:rPr>
        <w:t>El desplazamiento de un mundo del autor, del estilo y de la obra (incluso del mensaje) hacia un espacio de la escritura y del texto (…) ha respondido a una mutación de la percepción y de las condiciones del sentido, es decir, de lo que produce lazo y relación</w:t>
      </w:r>
      <w:r w:rsidRPr="00C64732">
        <w:rPr>
          <w:rStyle w:val="FootnoteReference"/>
          <w:rFonts w:ascii="Arial" w:hAnsi="Arial"/>
          <w:lang w:val="es-ES_tradnl"/>
        </w:rPr>
        <w:footnoteReference w:id="8"/>
      </w:r>
      <w:r w:rsidRPr="00C64732">
        <w:rPr>
          <w:rFonts w:ascii="Arial" w:hAnsi="Arial"/>
          <w:lang w:val="es-ES_tradnl"/>
        </w:rPr>
        <w:t xml:space="preserve">. </w:t>
      </w:r>
    </w:p>
    <w:p w:rsidR="00C64732" w:rsidRPr="00C64732" w:rsidRDefault="00C64732" w:rsidP="00C64732">
      <w:pPr>
        <w:spacing w:line="360" w:lineRule="auto"/>
        <w:jc w:val="both"/>
        <w:rPr>
          <w:rFonts w:ascii="Arial" w:hAnsi="Arial"/>
          <w:lang w:val="es-ES_tradnl"/>
        </w:rPr>
      </w:pPr>
      <w:r w:rsidRPr="00C64732">
        <w:rPr>
          <w:rFonts w:ascii="Arial" w:hAnsi="Arial"/>
          <w:lang w:val="es-ES_tradnl"/>
        </w:rPr>
        <w:t xml:space="preserve">No es la escritura </w:t>
      </w:r>
      <w:r w:rsidRPr="00C64732">
        <w:rPr>
          <w:rFonts w:ascii="Arial" w:hAnsi="Arial"/>
          <w:i/>
          <w:lang w:val="es-ES_tradnl"/>
        </w:rPr>
        <w:t>sobre</w:t>
      </w:r>
      <w:r w:rsidRPr="00C64732">
        <w:rPr>
          <w:rFonts w:ascii="Arial" w:hAnsi="Arial"/>
          <w:lang w:val="es-ES_tradnl"/>
        </w:rPr>
        <w:t xml:space="preserve"> la comunidad lo que formó comunidad en Bataille, Nietzsche, </w:t>
      </w:r>
      <w:proofErr w:type="spellStart"/>
      <w:r w:rsidRPr="00C64732">
        <w:rPr>
          <w:rFonts w:ascii="Arial" w:hAnsi="Arial"/>
          <w:lang w:val="es-ES_tradnl"/>
        </w:rPr>
        <w:t>Blanchot</w:t>
      </w:r>
      <w:proofErr w:type="spellEnd"/>
      <w:r w:rsidRPr="00C64732">
        <w:rPr>
          <w:rFonts w:ascii="Arial" w:hAnsi="Arial"/>
          <w:lang w:val="es-ES_tradnl"/>
        </w:rPr>
        <w:t xml:space="preserve"> y Nancy, sino </w:t>
      </w:r>
      <w:r w:rsidRPr="00C64732">
        <w:rPr>
          <w:rFonts w:ascii="Arial" w:hAnsi="Arial"/>
          <w:i/>
          <w:lang w:val="es-ES_tradnl"/>
        </w:rPr>
        <w:t>la escritura</w:t>
      </w:r>
      <w:r w:rsidRPr="00C64732">
        <w:rPr>
          <w:rFonts w:ascii="Arial" w:hAnsi="Arial"/>
          <w:lang w:val="es-ES_tradnl"/>
        </w:rPr>
        <w:t xml:space="preserve">, simplemente la escritura. La escritura a secas, y no el tema sobre el que versa esa escritura. Lo mismo, en efecto, corre para la comunidad formada por </w:t>
      </w:r>
      <w:proofErr w:type="spellStart"/>
      <w:r w:rsidRPr="00C64732">
        <w:rPr>
          <w:rFonts w:ascii="Arial" w:hAnsi="Arial"/>
          <w:lang w:val="es-ES_tradnl"/>
        </w:rPr>
        <w:t>Blanchot</w:t>
      </w:r>
      <w:proofErr w:type="spellEnd"/>
      <w:r w:rsidRPr="00C64732">
        <w:rPr>
          <w:rFonts w:ascii="Arial" w:hAnsi="Arial"/>
          <w:lang w:val="es-ES_tradnl"/>
        </w:rPr>
        <w:t>, Derrida, y Barthes: en ellos, también, es la escritura lo que hizo lazo o relación, y no la escritura sobre la escritura</w:t>
      </w:r>
      <w:r w:rsidRPr="00C64732">
        <w:rPr>
          <w:rStyle w:val="FootnoteReference"/>
          <w:rFonts w:ascii="Arial" w:hAnsi="Arial"/>
          <w:lang w:val="es-ES_tradnl"/>
        </w:rPr>
        <w:footnoteReference w:id="9"/>
      </w:r>
      <w:r w:rsidRPr="00C64732">
        <w:rPr>
          <w:rFonts w:ascii="Arial" w:hAnsi="Arial"/>
          <w:lang w:val="es-ES_tradnl"/>
        </w:rPr>
        <w:t xml:space="preserve">. </w:t>
      </w:r>
    </w:p>
    <w:p w:rsidR="00C64732" w:rsidRPr="00C64732" w:rsidRDefault="00C64732" w:rsidP="00C64732">
      <w:pPr>
        <w:spacing w:line="360" w:lineRule="auto"/>
        <w:jc w:val="both"/>
        <w:rPr>
          <w:rFonts w:ascii="Arial" w:hAnsi="Arial"/>
          <w:lang w:val="es-ES_tradnl"/>
        </w:rPr>
      </w:pPr>
      <w:r w:rsidRPr="00C64732">
        <w:rPr>
          <w:rFonts w:ascii="Arial" w:hAnsi="Arial"/>
          <w:lang w:val="es-ES_tradnl"/>
        </w:rPr>
        <w:t xml:space="preserve">El desplazamiento de un mundo del autor, del estilo y de la obra (incluso del mensaje, es decir del tema) hacia </w:t>
      </w:r>
      <w:r w:rsidRPr="00C64732">
        <w:rPr>
          <w:rFonts w:ascii="Arial" w:hAnsi="Arial"/>
          <w:i/>
          <w:lang w:val="es-ES_tradnl"/>
        </w:rPr>
        <w:t>un espacio</w:t>
      </w:r>
      <w:r w:rsidRPr="00C64732">
        <w:rPr>
          <w:rFonts w:ascii="Arial" w:hAnsi="Arial"/>
          <w:lang w:val="es-ES_tradnl"/>
        </w:rPr>
        <w:t xml:space="preserve"> de la escritura y del texto ha respondido a una mutación de la percepción de lo que hace lazo y relación, escribe Nancy. ¿Y qué es lo que hace lazo y relación en la escritura? ¿Cuál el espacio que con ella se abre? ¿Hay verdaderamente espacio abierto por la escritura, es decir, hay un espacio de la escritura? </w:t>
      </w:r>
    </w:p>
    <w:p w:rsidR="00C64732" w:rsidRPr="00C64732" w:rsidRDefault="00C64732" w:rsidP="00C64732">
      <w:pPr>
        <w:spacing w:line="360" w:lineRule="auto"/>
        <w:jc w:val="both"/>
        <w:rPr>
          <w:rFonts w:ascii="Arial" w:hAnsi="Arial"/>
          <w:lang w:val="es-ES_tradnl"/>
        </w:rPr>
      </w:pPr>
      <w:r w:rsidRPr="00C64732">
        <w:rPr>
          <w:rFonts w:ascii="Arial" w:hAnsi="Arial"/>
          <w:lang w:val="es-ES_tradnl"/>
        </w:rPr>
        <w:t xml:space="preserve">Relación que une sin unir, lazo que liga sin ligar, ese es, pues, el lazo y la relación singular de la escritura, el lazo y la relación a partir de la cual se forma </w:t>
      </w:r>
      <w:r w:rsidRPr="00C64732">
        <w:rPr>
          <w:rFonts w:ascii="Arial" w:hAnsi="Arial"/>
          <w:i/>
          <w:lang w:val="es-ES_tradnl"/>
        </w:rPr>
        <w:t>la comunidad de la escritura</w:t>
      </w:r>
      <w:r w:rsidRPr="00C64732">
        <w:rPr>
          <w:rFonts w:ascii="Arial" w:hAnsi="Arial"/>
          <w:lang w:val="es-ES_tradnl"/>
        </w:rPr>
        <w:t xml:space="preserve">. Lazo que no une, aquí, en presencia, en persona, a las personas que une. Relación que no liga, ahora, en el mismo tiempo o presente, a los que escriben y que se unen con la escritura. La escritura es, pues, ese espacio metafísico y </w:t>
      </w:r>
      <w:proofErr w:type="spellStart"/>
      <w:r w:rsidRPr="00C64732">
        <w:rPr>
          <w:rFonts w:ascii="Arial" w:hAnsi="Arial"/>
          <w:lang w:val="es-ES_tradnl"/>
        </w:rPr>
        <w:t>anti</w:t>
      </w:r>
      <w:proofErr w:type="spellEnd"/>
      <w:r w:rsidRPr="00C64732">
        <w:rPr>
          <w:rFonts w:ascii="Arial" w:hAnsi="Arial"/>
          <w:lang w:val="es-ES_tradnl"/>
        </w:rPr>
        <w:t xml:space="preserve">-metafísico al mismo tiempo. Espacio que no es físico, espacio que está más allá de la física, de la materialidad del espacio en el que cualquiera puede hacerse presente, presentarse, presenciar plenamente, en persona. Espacio sin </w:t>
      </w:r>
      <w:proofErr w:type="spellStart"/>
      <w:r w:rsidRPr="00C64732">
        <w:rPr>
          <w:rFonts w:ascii="Arial" w:hAnsi="Arial"/>
          <w:lang w:val="es-ES_tradnl"/>
        </w:rPr>
        <w:t>espacialidad</w:t>
      </w:r>
      <w:proofErr w:type="spellEnd"/>
      <w:r w:rsidRPr="00C64732">
        <w:rPr>
          <w:rFonts w:ascii="Arial" w:hAnsi="Arial"/>
          <w:lang w:val="es-ES_tradnl"/>
        </w:rPr>
        <w:t xml:space="preserve">, sin superficie, pero también sin límites, infinitamente expandible, todo lo que la escritura lo permita porque ni el tiempo ni el espacio, ni la </w:t>
      </w:r>
      <w:proofErr w:type="spellStart"/>
      <w:r w:rsidRPr="00C64732">
        <w:rPr>
          <w:rFonts w:ascii="Arial" w:hAnsi="Arial"/>
          <w:lang w:val="es-ES_tradnl"/>
        </w:rPr>
        <w:t>espacialidad</w:t>
      </w:r>
      <w:proofErr w:type="spellEnd"/>
      <w:r w:rsidRPr="00C64732">
        <w:rPr>
          <w:rFonts w:ascii="Arial" w:hAnsi="Arial"/>
          <w:lang w:val="es-ES_tradnl"/>
        </w:rPr>
        <w:t xml:space="preserve"> ni la superficie, lo limitan. Espacio huérfano de personas, que no están, donde están, plenamente presentes, que están sólo presentes por el trazo, por el movimiento que deja su escritura, trazo, cosa, muerta y, trazo, cosa viva, materia sin alma y animada al mismo tiempo. Por eso mismo, también, es un espacio </w:t>
      </w:r>
      <w:proofErr w:type="spellStart"/>
      <w:r w:rsidRPr="00C64732">
        <w:rPr>
          <w:rFonts w:ascii="Arial" w:hAnsi="Arial"/>
          <w:lang w:val="es-ES_tradnl"/>
        </w:rPr>
        <w:t>anti</w:t>
      </w:r>
      <w:proofErr w:type="spellEnd"/>
      <w:r w:rsidRPr="00C64732">
        <w:rPr>
          <w:rFonts w:ascii="Arial" w:hAnsi="Arial"/>
          <w:lang w:val="es-ES_tradnl"/>
        </w:rPr>
        <w:t xml:space="preserve"> </w:t>
      </w:r>
      <w:proofErr w:type="spellStart"/>
      <w:r w:rsidRPr="00C64732">
        <w:rPr>
          <w:rFonts w:ascii="Arial" w:hAnsi="Arial"/>
          <w:lang w:val="es-ES_tradnl"/>
        </w:rPr>
        <w:t>metáfisico</w:t>
      </w:r>
      <w:proofErr w:type="spellEnd"/>
      <w:r w:rsidRPr="00C64732">
        <w:rPr>
          <w:rFonts w:ascii="Arial" w:hAnsi="Arial"/>
          <w:lang w:val="es-ES_tradnl"/>
        </w:rPr>
        <w:t xml:space="preserve">: porque, allí, no hay presencia plena, sino </w:t>
      </w:r>
      <w:proofErr w:type="spellStart"/>
      <w:r w:rsidRPr="00C64732">
        <w:rPr>
          <w:rFonts w:ascii="Arial" w:hAnsi="Arial"/>
          <w:lang w:val="es-ES_tradnl"/>
        </w:rPr>
        <w:t>semi</w:t>
      </w:r>
      <w:proofErr w:type="spellEnd"/>
      <w:r w:rsidRPr="00C64732">
        <w:rPr>
          <w:rFonts w:ascii="Arial" w:hAnsi="Arial"/>
          <w:lang w:val="es-ES_tradnl"/>
        </w:rPr>
        <w:t xml:space="preserve">-presencia, o incluso más: huella de la huella.       </w:t>
      </w:r>
    </w:p>
    <w:p w:rsidR="00C64732" w:rsidRPr="00C64732" w:rsidRDefault="00C64732" w:rsidP="00C64732">
      <w:pPr>
        <w:spacing w:line="360" w:lineRule="auto"/>
        <w:jc w:val="both"/>
        <w:rPr>
          <w:rFonts w:ascii="Arial" w:hAnsi="Arial"/>
          <w:lang w:val="es-ES_tradnl"/>
        </w:rPr>
      </w:pPr>
      <w:r w:rsidRPr="00C64732">
        <w:rPr>
          <w:rFonts w:ascii="Arial" w:hAnsi="Arial"/>
          <w:lang w:val="es-ES_tradnl"/>
        </w:rPr>
        <w:t xml:space="preserve">Ni virtual ni concreto, el espacio de la escritura es un espacio que, verdaderamente, no tiene lugar. No tiene ni lugar preciso ni lugar concreto. Es éste, aquí y ahora, su lugar, el lugar mientras </w:t>
      </w:r>
      <w:r w:rsidRPr="00C64732">
        <w:rPr>
          <w:rFonts w:ascii="Arial" w:hAnsi="Arial"/>
          <w:i/>
          <w:lang w:val="es-ES_tradnl"/>
        </w:rPr>
        <w:t>escribo</w:t>
      </w:r>
      <w:r w:rsidRPr="00C64732">
        <w:rPr>
          <w:rFonts w:ascii="Arial" w:hAnsi="Arial"/>
          <w:lang w:val="es-ES_tradnl"/>
        </w:rPr>
        <w:t xml:space="preserve">. Pero es cualquier lugar, cualquier espacio en donde </w:t>
      </w:r>
      <w:r w:rsidRPr="00C64732">
        <w:rPr>
          <w:rFonts w:ascii="Arial" w:hAnsi="Arial"/>
          <w:i/>
          <w:lang w:val="es-ES_tradnl"/>
        </w:rPr>
        <w:t>se</w:t>
      </w:r>
      <w:r w:rsidRPr="00C64732">
        <w:rPr>
          <w:rFonts w:ascii="Arial" w:hAnsi="Arial"/>
          <w:lang w:val="es-ES_tradnl"/>
        </w:rPr>
        <w:t xml:space="preserve"> escriba. Espacio huérfano, decíamos, pero común, compartido. Y compartido en la ausencia: está ausente el escritor cuando se lee, y está ausente el lector cuando se escribe. Pero se comparte y se abre, cada vez que se lee, y cada vez que se escribe. Cada vez que un libro es abierto para ser leído, cada vez que un papel es escrito, nace ese espacio indeterminable, imposible de tocar, de agarrar: el espacio literario que forma la comunidad de la escritura. Cada vez que </w:t>
      </w:r>
      <w:proofErr w:type="spellStart"/>
      <w:r w:rsidRPr="00C64732">
        <w:rPr>
          <w:rFonts w:ascii="Arial" w:hAnsi="Arial"/>
          <w:lang w:val="es-ES_tradnl"/>
        </w:rPr>
        <w:t>Blanchot</w:t>
      </w:r>
      <w:proofErr w:type="spellEnd"/>
      <w:r w:rsidRPr="00C64732">
        <w:rPr>
          <w:rFonts w:ascii="Arial" w:hAnsi="Arial"/>
          <w:lang w:val="es-ES_tradnl"/>
        </w:rPr>
        <w:t xml:space="preserve">, Bataille, Nancy y Nietzsche escribieron sobre la comunidad, ellos mismos formaron comunidad. Y la formaron escribiendo, a través del lazo y del espacio que forma la escritura. Sus textos son, para parafrasear al propio Nancy, menos una serie de ensayos sobre el asunto de la comunidad, que una serie de ensayos </w:t>
      </w:r>
      <w:r w:rsidRPr="00C64732">
        <w:rPr>
          <w:rFonts w:ascii="Arial" w:hAnsi="Arial"/>
          <w:i/>
          <w:lang w:val="es-ES_tradnl"/>
        </w:rPr>
        <w:t>ellos mismos</w:t>
      </w:r>
      <w:r w:rsidRPr="00C64732">
        <w:rPr>
          <w:rFonts w:ascii="Arial" w:hAnsi="Arial"/>
          <w:lang w:val="es-ES_tradnl"/>
        </w:rPr>
        <w:t xml:space="preserve"> asunto de una comunidad. </w:t>
      </w:r>
    </w:p>
    <w:p w:rsidR="00C64732" w:rsidRPr="00C64732" w:rsidRDefault="00C64732" w:rsidP="00C64732">
      <w:pPr>
        <w:spacing w:line="360" w:lineRule="auto"/>
        <w:ind w:firstLine="720"/>
        <w:jc w:val="both"/>
        <w:rPr>
          <w:rFonts w:ascii="Arial" w:hAnsi="Arial"/>
          <w:b/>
          <w:lang w:val="es-ES_tradnl"/>
        </w:rPr>
      </w:pPr>
    </w:p>
    <w:p w:rsidR="00C64732" w:rsidRPr="00C64732" w:rsidRDefault="00C64732" w:rsidP="00C64732">
      <w:pPr>
        <w:numPr>
          <w:ilvl w:val="0"/>
          <w:numId w:val="1"/>
        </w:numPr>
        <w:spacing w:line="360" w:lineRule="auto"/>
        <w:jc w:val="both"/>
        <w:rPr>
          <w:rFonts w:ascii="Arial" w:hAnsi="Arial"/>
          <w:b/>
          <w:lang w:val="es-ES_tradnl"/>
        </w:rPr>
      </w:pPr>
      <w:r w:rsidRPr="00C64732">
        <w:rPr>
          <w:rFonts w:ascii="Arial" w:hAnsi="Arial"/>
          <w:b/>
          <w:lang w:val="es-ES_tradnl"/>
        </w:rPr>
        <w:t xml:space="preserve"> Lo inconfesable de la comunidad (de la escritura)</w:t>
      </w:r>
    </w:p>
    <w:p w:rsidR="00C64732" w:rsidRPr="00C64732" w:rsidRDefault="00C64732" w:rsidP="00C64732">
      <w:pPr>
        <w:spacing w:line="360" w:lineRule="auto"/>
        <w:ind w:left="1080"/>
        <w:jc w:val="both"/>
        <w:rPr>
          <w:rFonts w:ascii="Arial" w:hAnsi="Arial"/>
          <w:lang w:val="es-ES_tradnl"/>
        </w:rPr>
      </w:pPr>
    </w:p>
    <w:p w:rsidR="00C64732" w:rsidRPr="00C64732" w:rsidRDefault="00C64732" w:rsidP="00C64732">
      <w:pPr>
        <w:spacing w:line="360" w:lineRule="auto"/>
        <w:jc w:val="both"/>
        <w:rPr>
          <w:rFonts w:ascii="Arial" w:hAnsi="Arial"/>
          <w:lang w:val="es-ES_tradnl"/>
        </w:rPr>
      </w:pPr>
      <w:r w:rsidRPr="00C64732">
        <w:rPr>
          <w:rFonts w:ascii="Arial" w:hAnsi="Arial"/>
          <w:lang w:val="es-ES_tradnl"/>
        </w:rPr>
        <w:t xml:space="preserve">Hasta aquí, entonces, todo lo lejos que fue Nancy. O, mejor aún, todo lo lejos que podemos ir nosotros con Nancy, haciendo comunidad con la escritura de Nancy, con la escritura de </w:t>
      </w:r>
      <w:r w:rsidRPr="00C64732">
        <w:rPr>
          <w:rFonts w:ascii="Arial" w:hAnsi="Arial"/>
          <w:i/>
          <w:lang w:val="es-ES_tradnl"/>
        </w:rPr>
        <w:t xml:space="preserve">La comunidad </w:t>
      </w:r>
      <w:proofErr w:type="spellStart"/>
      <w:r w:rsidRPr="00C64732">
        <w:rPr>
          <w:rFonts w:ascii="Arial" w:hAnsi="Arial"/>
          <w:i/>
          <w:lang w:val="es-ES_tradnl"/>
        </w:rPr>
        <w:t>desobrada</w:t>
      </w:r>
      <w:proofErr w:type="spellEnd"/>
      <w:r w:rsidRPr="00C64732">
        <w:rPr>
          <w:rFonts w:ascii="Arial" w:hAnsi="Arial"/>
          <w:lang w:val="es-ES_tradnl"/>
        </w:rPr>
        <w:t xml:space="preserve">. Pero se trataba, en realidad, de ir más lejos que Nancy. Por lo menos esa era la propuesta de </w:t>
      </w:r>
      <w:proofErr w:type="spellStart"/>
      <w:r w:rsidRPr="00C64732">
        <w:rPr>
          <w:rFonts w:ascii="Arial" w:hAnsi="Arial"/>
          <w:lang w:val="es-ES_tradnl"/>
        </w:rPr>
        <w:t>Blanchot</w:t>
      </w:r>
      <w:proofErr w:type="spellEnd"/>
      <w:r w:rsidRPr="00C64732">
        <w:rPr>
          <w:rFonts w:ascii="Arial" w:hAnsi="Arial"/>
          <w:lang w:val="es-ES_tradnl"/>
        </w:rPr>
        <w:t xml:space="preserve">, que retomaba la propuesta con la que el propio Nancy concluía el texto publicado en </w:t>
      </w:r>
      <w:proofErr w:type="spellStart"/>
      <w:r w:rsidRPr="00C64732">
        <w:rPr>
          <w:rFonts w:ascii="Arial" w:hAnsi="Arial"/>
          <w:i/>
          <w:lang w:val="es-ES_tradnl"/>
        </w:rPr>
        <w:t>Aléa</w:t>
      </w:r>
      <w:proofErr w:type="spellEnd"/>
      <w:r w:rsidRPr="00C64732">
        <w:rPr>
          <w:rFonts w:ascii="Arial" w:hAnsi="Arial"/>
          <w:lang w:val="es-ES_tradnl"/>
        </w:rPr>
        <w:t xml:space="preserve">: “Sólo podemos ir más lejos”. En La comunidad revocada Nancy se lamenta, en efecto, de no haber comprendido del todo ese ir más lejos que, si bien era de su propia autoría, </w:t>
      </w:r>
      <w:proofErr w:type="spellStart"/>
      <w:r w:rsidRPr="00C64732">
        <w:rPr>
          <w:rFonts w:ascii="Arial" w:hAnsi="Arial"/>
          <w:lang w:val="es-ES_tradnl"/>
        </w:rPr>
        <w:t>Blanchot</w:t>
      </w:r>
      <w:proofErr w:type="spellEnd"/>
      <w:r w:rsidRPr="00C64732">
        <w:rPr>
          <w:rFonts w:ascii="Arial" w:hAnsi="Arial"/>
          <w:lang w:val="es-ES_tradnl"/>
        </w:rPr>
        <w:t xml:space="preserve"> había hecho propio: “En ese momento –escribe- sólo percibí </w:t>
      </w:r>
      <w:r w:rsidRPr="00C64732">
        <w:rPr>
          <w:rFonts w:ascii="Arial" w:hAnsi="Arial"/>
          <w:i/>
          <w:lang w:val="es-ES_tradnl"/>
        </w:rPr>
        <w:t>muy confusamente</w:t>
      </w:r>
      <w:r w:rsidRPr="00C64732">
        <w:rPr>
          <w:rFonts w:ascii="Arial" w:hAnsi="Arial"/>
          <w:lang w:val="es-ES_tradnl"/>
        </w:rPr>
        <w:t>, y en el apuro, esa intención”</w:t>
      </w:r>
      <w:r w:rsidRPr="00C64732">
        <w:rPr>
          <w:rStyle w:val="FootnoteReference"/>
          <w:rFonts w:ascii="Arial" w:hAnsi="Arial"/>
          <w:lang w:val="es-ES_tradnl"/>
        </w:rPr>
        <w:footnoteReference w:id="10"/>
      </w:r>
      <w:r w:rsidRPr="00C64732">
        <w:rPr>
          <w:rFonts w:ascii="Arial" w:hAnsi="Arial"/>
          <w:lang w:val="es-ES_tradnl"/>
        </w:rPr>
        <w:t xml:space="preserve">. Ahora bien: ¿Se puede ir más lejos? ¿Qué tanto más lejos se puede ir? ¿Qué tanto más lejos se puede ir, con </w:t>
      </w:r>
      <w:proofErr w:type="spellStart"/>
      <w:r w:rsidRPr="00C64732">
        <w:rPr>
          <w:rFonts w:ascii="Arial" w:hAnsi="Arial"/>
          <w:lang w:val="es-ES_tradnl"/>
        </w:rPr>
        <w:t>Blanchot</w:t>
      </w:r>
      <w:proofErr w:type="spellEnd"/>
      <w:r w:rsidRPr="00C64732">
        <w:rPr>
          <w:rFonts w:ascii="Arial" w:hAnsi="Arial"/>
          <w:lang w:val="es-ES_tradnl"/>
        </w:rPr>
        <w:t xml:space="preserve">? ¿Se puede, pues, ir </w:t>
      </w:r>
      <w:r w:rsidRPr="00C64732">
        <w:rPr>
          <w:rFonts w:ascii="Arial" w:hAnsi="Arial"/>
          <w:i/>
          <w:lang w:val="es-ES_tradnl"/>
        </w:rPr>
        <w:t>tan</w:t>
      </w:r>
      <w:r w:rsidRPr="00C64732">
        <w:rPr>
          <w:rFonts w:ascii="Arial" w:hAnsi="Arial"/>
          <w:lang w:val="es-ES_tradnl"/>
        </w:rPr>
        <w:t xml:space="preserve"> lejos? ¿No estamos ya lo suficientemente lejos, es decir lo suficientemente lejos de cualquier reflexión sobre la comunidad? ¿Y qué es, en todo caso, ir más lejos, ir más lejos con </w:t>
      </w:r>
      <w:proofErr w:type="spellStart"/>
      <w:r w:rsidRPr="00C64732">
        <w:rPr>
          <w:rFonts w:ascii="Arial" w:hAnsi="Arial"/>
          <w:lang w:val="es-ES_tradnl"/>
        </w:rPr>
        <w:t>Blanchot</w:t>
      </w:r>
      <w:proofErr w:type="spellEnd"/>
      <w:r w:rsidRPr="00C64732">
        <w:rPr>
          <w:rFonts w:ascii="Arial" w:hAnsi="Arial"/>
          <w:lang w:val="es-ES_tradnl"/>
        </w:rPr>
        <w:t>? ¿Qué es, en fin, lo que Nancy percibió, en aquél momento, muy confusamente?</w:t>
      </w:r>
    </w:p>
    <w:p w:rsidR="00C64732" w:rsidRPr="00C64732" w:rsidRDefault="00C64732" w:rsidP="00C64732">
      <w:pPr>
        <w:spacing w:line="360" w:lineRule="auto"/>
        <w:jc w:val="both"/>
        <w:rPr>
          <w:rFonts w:ascii="Arial" w:hAnsi="Arial"/>
          <w:lang w:val="es-ES_tradnl"/>
        </w:rPr>
      </w:pPr>
      <w:r w:rsidRPr="00C64732">
        <w:rPr>
          <w:rFonts w:ascii="Arial" w:hAnsi="Arial"/>
          <w:lang w:val="es-ES_tradnl"/>
        </w:rPr>
        <w:t xml:space="preserve">Recién algunas décadas más tarde, casi exactamente dos décadas más tarde de la publicación de </w:t>
      </w:r>
      <w:r w:rsidRPr="00C64732">
        <w:rPr>
          <w:rFonts w:ascii="Arial" w:hAnsi="Arial"/>
          <w:i/>
          <w:lang w:val="es-ES_tradnl"/>
        </w:rPr>
        <w:t xml:space="preserve">La comunidad </w:t>
      </w:r>
      <w:proofErr w:type="spellStart"/>
      <w:r w:rsidRPr="00C64732">
        <w:rPr>
          <w:rFonts w:ascii="Arial" w:hAnsi="Arial"/>
          <w:i/>
          <w:lang w:val="es-ES_tradnl"/>
        </w:rPr>
        <w:t>desobrada</w:t>
      </w:r>
      <w:proofErr w:type="spellEnd"/>
      <w:r w:rsidRPr="00C64732">
        <w:rPr>
          <w:rFonts w:ascii="Arial" w:hAnsi="Arial"/>
          <w:lang w:val="es-ES_tradnl"/>
        </w:rPr>
        <w:t xml:space="preserve"> y de </w:t>
      </w:r>
      <w:r w:rsidRPr="00C64732">
        <w:rPr>
          <w:rFonts w:ascii="Arial" w:hAnsi="Arial"/>
          <w:i/>
          <w:lang w:val="es-ES_tradnl"/>
        </w:rPr>
        <w:t>La comunidad inconfesable</w:t>
      </w:r>
      <w:r w:rsidRPr="00C64732">
        <w:rPr>
          <w:rFonts w:ascii="Arial" w:hAnsi="Arial"/>
          <w:lang w:val="es-ES_tradnl"/>
        </w:rPr>
        <w:t xml:space="preserve">, en 2002, Nancy comienza a despejar esa confusión o cree, por lo menos, comenzar a despejarla (aunque él mismo se va a ocupar de aclarar que ella, quizás, no pueda ser nunca despejada del todo). Y lo hace en un texto que con el nombre de </w:t>
      </w:r>
      <w:r w:rsidRPr="00C64732">
        <w:rPr>
          <w:rFonts w:ascii="Arial" w:hAnsi="Arial"/>
          <w:i/>
          <w:lang w:val="es-ES_tradnl"/>
        </w:rPr>
        <w:t>La comunidad afrontada</w:t>
      </w:r>
      <w:r w:rsidRPr="00C64732">
        <w:rPr>
          <w:rFonts w:ascii="Arial" w:hAnsi="Arial"/>
          <w:lang w:val="es-ES_tradnl"/>
        </w:rPr>
        <w:t xml:space="preserve"> hace las veces de prefacio en la segunda edición italiana de </w:t>
      </w:r>
      <w:r w:rsidRPr="00C64732">
        <w:rPr>
          <w:rFonts w:ascii="Arial" w:hAnsi="Arial"/>
          <w:i/>
          <w:lang w:val="es-ES_tradnl"/>
        </w:rPr>
        <w:t>La comunidad inconfesable</w:t>
      </w:r>
      <w:r w:rsidRPr="00C64732">
        <w:rPr>
          <w:rFonts w:ascii="Arial" w:hAnsi="Arial"/>
          <w:lang w:val="es-ES_tradnl"/>
        </w:rPr>
        <w:t xml:space="preserve"> y que luego, corregido y ampliado, es incluido como postfacio de la edición española. La conclusión a la que llega Nancy en ese texto es la siguiente: no es necesario ir demasiado lejos para comprender qué tan lejos pretendía ir </w:t>
      </w:r>
      <w:proofErr w:type="spellStart"/>
      <w:r w:rsidRPr="00C64732">
        <w:rPr>
          <w:rFonts w:ascii="Arial" w:hAnsi="Arial"/>
          <w:lang w:val="es-ES_tradnl"/>
        </w:rPr>
        <w:t>Blanchot</w:t>
      </w:r>
      <w:proofErr w:type="spellEnd"/>
      <w:r w:rsidRPr="00C64732">
        <w:rPr>
          <w:rFonts w:ascii="Arial" w:hAnsi="Arial"/>
          <w:lang w:val="es-ES_tradnl"/>
        </w:rPr>
        <w:t xml:space="preserve">. Sólo basta con comenzar por el título del texto. </w:t>
      </w:r>
    </w:p>
    <w:p w:rsidR="00C64732" w:rsidRPr="00C64732" w:rsidRDefault="00C64732" w:rsidP="00C64732">
      <w:pPr>
        <w:spacing w:line="360" w:lineRule="auto"/>
        <w:jc w:val="both"/>
        <w:rPr>
          <w:rFonts w:ascii="Arial" w:hAnsi="Arial"/>
          <w:lang w:val="es-ES_tradnl"/>
        </w:rPr>
      </w:pPr>
      <w:r w:rsidRPr="00C64732">
        <w:rPr>
          <w:rFonts w:ascii="Arial" w:hAnsi="Arial"/>
          <w:lang w:val="es-ES_tradnl"/>
        </w:rPr>
        <w:t xml:space="preserve">Ir más lejos quería decir, para </w:t>
      </w:r>
      <w:proofErr w:type="spellStart"/>
      <w:r w:rsidRPr="00C64732">
        <w:rPr>
          <w:rFonts w:ascii="Arial" w:hAnsi="Arial"/>
          <w:lang w:val="es-ES_tradnl"/>
        </w:rPr>
        <w:t>Blanchot</w:t>
      </w:r>
      <w:proofErr w:type="spellEnd"/>
      <w:r w:rsidRPr="00C64732">
        <w:rPr>
          <w:rFonts w:ascii="Arial" w:hAnsi="Arial"/>
          <w:lang w:val="es-ES_tradnl"/>
        </w:rPr>
        <w:t xml:space="preserve">, penetrar en lo inconfesable, en lo inconfesable de la comunidad, de lo común. “Atención a lo inconfesable!”, le decía </w:t>
      </w:r>
      <w:proofErr w:type="spellStart"/>
      <w:r w:rsidRPr="00C64732">
        <w:rPr>
          <w:rFonts w:ascii="Arial" w:hAnsi="Arial"/>
          <w:lang w:val="es-ES_tradnl"/>
        </w:rPr>
        <w:t>Blanchot</w:t>
      </w:r>
      <w:proofErr w:type="spellEnd"/>
      <w:r w:rsidRPr="00C64732">
        <w:rPr>
          <w:rFonts w:ascii="Arial" w:hAnsi="Arial"/>
          <w:lang w:val="es-ES_tradnl"/>
        </w:rPr>
        <w:t xml:space="preserve"> a Nancy, según el propio Nancy. Esa atención debía dirigirse por lo tanto al título, que realizaba un desplazamiento con respecto al título texto de Nancy, al título del texto pero también, lógicamente, con respecto a su contenido. Del </w:t>
      </w:r>
      <w:proofErr w:type="spellStart"/>
      <w:r w:rsidRPr="00C64732">
        <w:rPr>
          <w:rFonts w:ascii="Arial" w:hAnsi="Arial"/>
          <w:lang w:val="es-ES_tradnl"/>
        </w:rPr>
        <w:t>desobramiento</w:t>
      </w:r>
      <w:proofErr w:type="spellEnd"/>
      <w:r w:rsidRPr="00C64732">
        <w:rPr>
          <w:rFonts w:ascii="Arial" w:hAnsi="Arial"/>
          <w:lang w:val="es-ES_tradnl"/>
        </w:rPr>
        <w:t xml:space="preserve"> de la comunidad, proponía </w:t>
      </w:r>
      <w:proofErr w:type="spellStart"/>
      <w:r w:rsidRPr="00C64732">
        <w:rPr>
          <w:rFonts w:ascii="Arial" w:hAnsi="Arial"/>
          <w:lang w:val="es-ES_tradnl"/>
        </w:rPr>
        <w:t>Blanchot</w:t>
      </w:r>
      <w:proofErr w:type="spellEnd"/>
      <w:r w:rsidRPr="00C64732">
        <w:rPr>
          <w:rFonts w:ascii="Arial" w:hAnsi="Arial"/>
          <w:lang w:val="es-ES_tradnl"/>
        </w:rPr>
        <w:t xml:space="preserve">, desplazarse hacia lo inconfesable de la comunidad. ¿Y qué es, al fin y al cabo, ir más lejos sino desplazarse, moverse de un punto a otro? Si había desplazamiento, sin embargo, ese desplazamiento debía ser comprendido con ciertas limitaciones: desplazarse significaba trazar un nuevo recorrido, ir más lejos, en fin, pero sin borrar el camino que se había realizado antes que él, es decir antes de ir </w:t>
      </w:r>
      <w:r w:rsidRPr="00C64732">
        <w:rPr>
          <w:rFonts w:ascii="Arial" w:hAnsi="Arial"/>
          <w:i/>
          <w:lang w:val="es-ES_tradnl"/>
        </w:rPr>
        <w:t xml:space="preserve">efectivamente, empezando por el título, </w:t>
      </w:r>
      <w:r w:rsidRPr="00C64732">
        <w:rPr>
          <w:rFonts w:ascii="Arial" w:hAnsi="Arial"/>
          <w:lang w:val="es-ES_tradnl"/>
        </w:rPr>
        <w:t>más lejos.</w:t>
      </w:r>
    </w:p>
    <w:p w:rsidR="00C64732" w:rsidRPr="00C64732" w:rsidRDefault="00C64732" w:rsidP="00C64732">
      <w:pPr>
        <w:spacing w:line="360" w:lineRule="auto"/>
        <w:jc w:val="both"/>
        <w:rPr>
          <w:rFonts w:ascii="Arial" w:hAnsi="Arial"/>
          <w:lang w:val="es-ES_tradnl"/>
        </w:rPr>
      </w:pPr>
      <w:r w:rsidRPr="00C64732">
        <w:rPr>
          <w:rFonts w:ascii="Arial" w:hAnsi="Arial"/>
          <w:lang w:val="es-ES_tradnl"/>
        </w:rPr>
        <w:t xml:space="preserve">El </w:t>
      </w:r>
      <w:proofErr w:type="spellStart"/>
      <w:r w:rsidRPr="00C64732">
        <w:rPr>
          <w:rFonts w:ascii="Arial" w:hAnsi="Arial"/>
          <w:lang w:val="es-ES_tradnl"/>
        </w:rPr>
        <w:t>desobramiento</w:t>
      </w:r>
      <w:proofErr w:type="spellEnd"/>
      <w:r w:rsidRPr="00C64732">
        <w:rPr>
          <w:rFonts w:ascii="Arial" w:hAnsi="Arial"/>
          <w:lang w:val="es-ES_tradnl"/>
        </w:rPr>
        <w:t xml:space="preserve"> de la comunidad, la comunidad no haciendo obra, es decir no haciendo nada, o </w:t>
      </w:r>
      <w:r w:rsidRPr="00C64732">
        <w:rPr>
          <w:rFonts w:ascii="Arial" w:hAnsi="Arial"/>
          <w:i/>
          <w:lang w:val="es-ES_tradnl"/>
        </w:rPr>
        <w:t>haciendo nada</w:t>
      </w:r>
      <w:r w:rsidRPr="00C64732">
        <w:rPr>
          <w:rFonts w:ascii="Arial" w:hAnsi="Arial"/>
          <w:lang w:val="es-ES_tradnl"/>
        </w:rPr>
        <w:t xml:space="preserve">, venía, en el texto de Nancy, en su primer texto, a denunciar no sólo al comunismo como proyecto de comunidad a realizar, a realizarse, a convertirse en obra, sino también a cualquier forma de comunidad que pretendiese hacerse obra: sea bajo la forma de los Estados – Nación, de Asambleas, sea bajo la forma del Pueblo o de la Nación. Hay una comunidad que está antes que todas las formas en las cuales la comunidad se vuelve sustancia. Antes de lo que </w:t>
      </w:r>
      <w:r w:rsidRPr="00C64732">
        <w:rPr>
          <w:rFonts w:ascii="Arial" w:hAnsi="Arial"/>
          <w:i/>
          <w:lang w:val="es-ES_tradnl"/>
        </w:rPr>
        <w:t>tenemos</w:t>
      </w:r>
      <w:r w:rsidRPr="00C64732">
        <w:rPr>
          <w:rFonts w:ascii="Arial" w:hAnsi="Arial"/>
          <w:lang w:val="es-ES_tradnl"/>
        </w:rPr>
        <w:t xml:space="preserve"> en común, una cultura, una nación, un territorio, una lengua, una ideología, está lo que </w:t>
      </w:r>
      <w:r w:rsidRPr="00C64732">
        <w:rPr>
          <w:rFonts w:ascii="Arial" w:hAnsi="Arial"/>
          <w:i/>
          <w:lang w:val="es-ES_tradnl"/>
        </w:rPr>
        <w:t>somos</w:t>
      </w:r>
      <w:r w:rsidRPr="00C64732">
        <w:rPr>
          <w:rFonts w:ascii="Arial" w:hAnsi="Arial"/>
          <w:lang w:val="es-ES_tradnl"/>
        </w:rPr>
        <w:t xml:space="preserve"> en común. Hay un común que somos que se comparte, compartido, pero que no se presenta como obra, que no se presenta como lo que tenemos. Es la presencia de un común sin presente. Que </w:t>
      </w:r>
      <w:r w:rsidRPr="00C64732">
        <w:rPr>
          <w:rFonts w:ascii="Arial" w:hAnsi="Arial"/>
          <w:i/>
          <w:lang w:val="es-ES_tradnl"/>
        </w:rPr>
        <w:t>está o es</w:t>
      </w:r>
      <w:r w:rsidRPr="00C64732">
        <w:rPr>
          <w:rFonts w:ascii="Arial" w:hAnsi="Arial"/>
          <w:lang w:val="es-ES_tradnl"/>
        </w:rPr>
        <w:t xml:space="preserve"> sin estar nunca presente</w:t>
      </w:r>
      <w:r w:rsidRPr="00C64732">
        <w:rPr>
          <w:rStyle w:val="FootnoteReference"/>
          <w:rFonts w:ascii="Arial" w:hAnsi="Arial"/>
          <w:lang w:val="es-ES_tradnl"/>
        </w:rPr>
        <w:footnoteReference w:id="11"/>
      </w:r>
      <w:r w:rsidRPr="00C64732">
        <w:rPr>
          <w:rFonts w:ascii="Arial" w:hAnsi="Arial"/>
          <w:lang w:val="es-ES_tradnl"/>
        </w:rPr>
        <w:t xml:space="preserve">. </w:t>
      </w:r>
    </w:p>
    <w:p w:rsidR="00C64732" w:rsidRPr="00C64732" w:rsidRDefault="00C64732" w:rsidP="00C64732">
      <w:pPr>
        <w:spacing w:line="360" w:lineRule="auto"/>
        <w:jc w:val="both"/>
        <w:rPr>
          <w:rFonts w:ascii="Arial" w:hAnsi="Arial"/>
          <w:lang w:val="es-ES_tradnl"/>
        </w:rPr>
      </w:pPr>
      <w:r w:rsidRPr="00C64732">
        <w:rPr>
          <w:rFonts w:ascii="Arial" w:hAnsi="Arial"/>
          <w:lang w:val="es-ES_tradnl"/>
        </w:rPr>
        <w:t xml:space="preserve">Pero lo inconfesable de la comunidad que postulaba </w:t>
      </w:r>
      <w:proofErr w:type="spellStart"/>
      <w:r w:rsidRPr="00C64732">
        <w:rPr>
          <w:rFonts w:ascii="Arial" w:hAnsi="Arial"/>
          <w:lang w:val="es-ES_tradnl"/>
        </w:rPr>
        <w:t>Blanchot</w:t>
      </w:r>
      <w:proofErr w:type="spellEnd"/>
      <w:r w:rsidRPr="00C64732">
        <w:rPr>
          <w:rFonts w:ascii="Arial" w:hAnsi="Arial"/>
          <w:lang w:val="es-ES_tradnl"/>
        </w:rPr>
        <w:t xml:space="preserve">, que se proponía ir más lejos, iba más lejos de la diferencia entre lo común como perteneciendo al orden del tener o del ser, al registro de lo que se posee o de lo que es. Aunque, por supuesto, también la incluía. O, mejor aún, precisamente porque lo común inconfensable pertenece al orden del ser es que es inconfesable. Hay algo de lo somos, de lo que nos hace ser, que no se puede confesar. Ahora bien: ¿Qué es, para </w:t>
      </w:r>
      <w:proofErr w:type="spellStart"/>
      <w:r w:rsidRPr="00C64732">
        <w:rPr>
          <w:rFonts w:ascii="Arial" w:hAnsi="Arial"/>
          <w:lang w:val="es-ES_tradnl"/>
        </w:rPr>
        <w:t>Blanchot</w:t>
      </w:r>
      <w:proofErr w:type="spellEnd"/>
      <w:r w:rsidRPr="00C64732">
        <w:rPr>
          <w:rFonts w:ascii="Arial" w:hAnsi="Arial"/>
          <w:lang w:val="es-ES_tradnl"/>
        </w:rPr>
        <w:t xml:space="preserve">, lo inconfesable? ¿Qué significa que lo que hace comunidad en comunidad de la escritura sea inconfesable? Casi al final del libro, en el último párrafo, </w:t>
      </w:r>
      <w:proofErr w:type="spellStart"/>
      <w:r w:rsidRPr="00C64732">
        <w:rPr>
          <w:rFonts w:ascii="Arial" w:hAnsi="Arial"/>
          <w:lang w:val="es-ES_tradnl"/>
        </w:rPr>
        <w:t>Blanchot</w:t>
      </w:r>
      <w:proofErr w:type="spellEnd"/>
      <w:r w:rsidRPr="00C64732">
        <w:rPr>
          <w:rFonts w:ascii="Arial" w:hAnsi="Arial"/>
          <w:lang w:val="es-ES_tradnl"/>
        </w:rPr>
        <w:t xml:space="preserve"> se pregunta, una vez más, por lo inconfesable: “La comunidad inconfesable: ¿Quiere ello decir que no se confiesa o bien que ella es de tal modo que no hay confesiones que la revelen, ya que cada vez que se ha hablado de su manera de ser se presiente que de ella sólo se ha captado lo que la hace existir por defecto?” Si el libro de </w:t>
      </w:r>
      <w:proofErr w:type="spellStart"/>
      <w:r w:rsidRPr="00C64732">
        <w:rPr>
          <w:rFonts w:ascii="Arial" w:hAnsi="Arial"/>
          <w:lang w:val="es-ES_tradnl"/>
        </w:rPr>
        <w:t>Blanchot</w:t>
      </w:r>
      <w:proofErr w:type="spellEnd"/>
      <w:r w:rsidRPr="00C64732">
        <w:rPr>
          <w:rFonts w:ascii="Arial" w:hAnsi="Arial"/>
          <w:lang w:val="es-ES_tradnl"/>
        </w:rPr>
        <w:t xml:space="preserve"> no responde nunca a esa pregunta es porque se la “confía a otros”, menos para responderla que para “cargar con ella y acaso prolongarla”</w:t>
      </w:r>
      <w:r w:rsidRPr="00C64732">
        <w:rPr>
          <w:rStyle w:val="FootnoteReference"/>
          <w:rFonts w:ascii="Arial" w:hAnsi="Arial"/>
          <w:lang w:val="es-ES_tradnl"/>
        </w:rPr>
        <w:footnoteReference w:id="12"/>
      </w:r>
      <w:r w:rsidRPr="00C64732">
        <w:rPr>
          <w:rFonts w:ascii="Arial" w:hAnsi="Arial"/>
          <w:lang w:val="es-ES_tradnl"/>
        </w:rPr>
        <w:t>. ¿Y cómo prolongarla, pues, sino es a través de la escritura?</w:t>
      </w:r>
    </w:p>
    <w:p w:rsidR="00C64732" w:rsidRPr="00C64732" w:rsidRDefault="00C64732" w:rsidP="00C64732">
      <w:pPr>
        <w:spacing w:line="360" w:lineRule="auto"/>
        <w:jc w:val="both"/>
        <w:rPr>
          <w:rFonts w:ascii="Arial" w:hAnsi="Arial"/>
          <w:lang w:val="es-ES_tradnl"/>
        </w:rPr>
      </w:pPr>
      <w:r w:rsidRPr="00C64732">
        <w:rPr>
          <w:rFonts w:ascii="Arial" w:hAnsi="Arial"/>
          <w:lang w:val="es-ES_tradnl"/>
        </w:rPr>
        <w:t xml:space="preserve">No podremos jamás responder a la pregunta, pero sí prolongarla, y prolongarla a través de la escritura. ¿Cómo prolongar, aquí, esa pregunta? Hay un común que somos, que compartimos, que no se comunica, pero que se transmite y que se transmite sólo a través de la escritura, a través del gesto que inaugura </w:t>
      </w:r>
      <w:r w:rsidRPr="00C64732">
        <w:rPr>
          <w:rFonts w:ascii="Arial" w:hAnsi="Arial"/>
          <w:i/>
          <w:lang w:val="es-ES_tradnl"/>
        </w:rPr>
        <w:t>cada</w:t>
      </w:r>
      <w:r w:rsidRPr="00C64732">
        <w:rPr>
          <w:rFonts w:ascii="Arial" w:hAnsi="Arial"/>
          <w:lang w:val="es-ES_tradnl"/>
        </w:rPr>
        <w:t xml:space="preserve"> escritura y que nos convierte, a cada uno, mientras escribimos, parte de la misma comunidad, de la comunidad de la escritura. Ni comunal ni estrictamente política, la comunidad de la escritura pertenece a la especialidad y a la temporalidad del parpadeo de la política, a su duración. Hundida en lo inconfesable de lo que somos y de lo que compartimos, la escritura ya no comunica porque transmite algo que está más allá de lo que ella, incluso aquí, en esta escritura, que es la mía, comunica: un movimiento, un trazado inconfesable que la palabra no puede decir, pero que sí puede, y que sólo ella puede, la escritura, transmitir</w:t>
      </w:r>
      <w:r w:rsidRPr="00C64732">
        <w:rPr>
          <w:rStyle w:val="FootnoteReference"/>
          <w:rFonts w:ascii="Arial" w:hAnsi="Arial"/>
          <w:lang w:val="es-ES_tradnl"/>
        </w:rPr>
        <w:footnoteReference w:id="13"/>
      </w:r>
      <w:r w:rsidRPr="00C64732">
        <w:rPr>
          <w:rFonts w:ascii="Arial" w:hAnsi="Arial"/>
          <w:lang w:val="es-ES_tradnl"/>
        </w:rPr>
        <w:t>. No hay confesión que revele eso que somos, que nos hace ser humanos y que nos relaciona, sin ligarnos, en la escritura.</w:t>
      </w:r>
    </w:p>
    <w:p w:rsidR="00C64732" w:rsidRPr="00C64732" w:rsidRDefault="00C64732" w:rsidP="00C64732">
      <w:pPr>
        <w:spacing w:line="360" w:lineRule="auto"/>
        <w:jc w:val="both"/>
        <w:rPr>
          <w:rFonts w:ascii="Arial" w:hAnsi="Arial"/>
          <w:lang w:val="es-ES_tradnl"/>
        </w:rPr>
      </w:pPr>
      <w:r w:rsidRPr="00C64732">
        <w:rPr>
          <w:rFonts w:ascii="Arial" w:hAnsi="Arial"/>
          <w:lang w:val="es-ES_tradnl"/>
        </w:rPr>
        <w:t xml:space="preserve">Yendo más lejos que Nancy, yendo aún más lejos que la reflexión de Nancy en </w:t>
      </w:r>
      <w:r w:rsidRPr="00C64732">
        <w:rPr>
          <w:rFonts w:ascii="Arial" w:hAnsi="Arial"/>
          <w:i/>
          <w:lang w:val="es-ES_tradnl"/>
        </w:rPr>
        <w:t xml:space="preserve">La comunidad </w:t>
      </w:r>
      <w:proofErr w:type="spellStart"/>
      <w:r w:rsidRPr="00C64732">
        <w:rPr>
          <w:rFonts w:ascii="Arial" w:hAnsi="Arial"/>
          <w:i/>
          <w:lang w:val="es-ES_tradnl"/>
        </w:rPr>
        <w:t>desobrada</w:t>
      </w:r>
      <w:proofErr w:type="spellEnd"/>
      <w:r w:rsidRPr="00C64732">
        <w:rPr>
          <w:rFonts w:ascii="Arial" w:hAnsi="Arial"/>
          <w:lang w:val="es-ES_tradnl"/>
        </w:rPr>
        <w:t xml:space="preserve">, </w:t>
      </w:r>
      <w:proofErr w:type="spellStart"/>
      <w:r w:rsidRPr="00C64732">
        <w:rPr>
          <w:rFonts w:ascii="Arial" w:hAnsi="Arial"/>
          <w:lang w:val="es-ES_tradnl"/>
        </w:rPr>
        <w:t>Blanchot</w:t>
      </w:r>
      <w:proofErr w:type="spellEnd"/>
      <w:r w:rsidRPr="00C64732">
        <w:rPr>
          <w:rFonts w:ascii="Arial" w:hAnsi="Arial"/>
          <w:lang w:val="es-ES_tradnl"/>
        </w:rPr>
        <w:t xml:space="preserve"> perturba el origen de la escritura y, perturbando su origen, perturba su objetivo como objetivo ligado a la necesidad originaria de la escritura. Pero ya no se trata, aquí, del origen (perdido, elusivo) de la escritura como el movimiento de la presencia y del sentido, sino de la escritura como el ejercicio de la mano que escribe</w:t>
      </w:r>
      <w:r w:rsidRPr="00C64732">
        <w:rPr>
          <w:rStyle w:val="FootnoteReference"/>
          <w:rFonts w:ascii="Arial" w:hAnsi="Arial"/>
          <w:lang w:val="es-ES_tradnl"/>
        </w:rPr>
        <w:footnoteReference w:id="14"/>
      </w:r>
      <w:r w:rsidRPr="00C64732">
        <w:rPr>
          <w:rFonts w:ascii="Arial" w:hAnsi="Arial"/>
          <w:lang w:val="es-ES_tradnl"/>
        </w:rPr>
        <w:t xml:space="preserve">. En su minucioso estudio sobre la escritura, </w:t>
      </w:r>
      <w:proofErr w:type="spellStart"/>
      <w:r w:rsidRPr="00C64732">
        <w:rPr>
          <w:rFonts w:ascii="Arial" w:hAnsi="Arial"/>
          <w:lang w:val="es-ES_tradnl"/>
        </w:rPr>
        <w:t>Ignace</w:t>
      </w:r>
      <w:proofErr w:type="spellEnd"/>
      <w:r w:rsidRPr="00C64732">
        <w:rPr>
          <w:rFonts w:ascii="Arial" w:hAnsi="Arial"/>
          <w:lang w:val="es-ES_tradnl"/>
        </w:rPr>
        <w:t xml:space="preserve"> J. </w:t>
      </w:r>
      <w:proofErr w:type="spellStart"/>
      <w:r w:rsidRPr="00C64732">
        <w:rPr>
          <w:rFonts w:ascii="Arial" w:hAnsi="Arial"/>
          <w:lang w:val="es-ES_tradnl"/>
        </w:rPr>
        <w:t>Gelb</w:t>
      </w:r>
      <w:proofErr w:type="spellEnd"/>
      <w:r w:rsidRPr="00C64732">
        <w:rPr>
          <w:rFonts w:ascii="Arial" w:hAnsi="Arial"/>
          <w:lang w:val="es-ES_tradnl"/>
        </w:rPr>
        <w:t xml:space="preserve"> explica: “La escritura </w:t>
      </w:r>
      <w:r w:rsidRPr="00C64732">
        <w:rPr>
          <w:rFonts w:ascii="Arial" w:hAnsi="Arial"/>
          <w:i/>
          <w:lang w:val="es-ES_tradnl"/>
        </w:rPr>
        <w:t>comenzó</w:t>
      </w:r>
      <w:r w:rsidRPr="00C64732">
        <w:rPr>
          <w:rFonts w:ascii="Arial" w:hAnsi="Arial"/>
          <w:lang w:val="es-ES_tradnl"/>
        </w:rPr>
        <w:t xml:space="preserve"> al aprender el hombre </w:t>
      </w:r>
      <w:r w:rsidRPr="00C64732">
        <w:rPr>
          <w:rFonts w:ascii="Arial" w:hAnsi="Arial"/>
          <w:i/>
          <w:lang w:val="es-ES_tradnl"/>
        </w:rPr>
        <w:t>a comunicar</w:t>
      </w:r>
      <w:r w:rsidRPr="00C64732">
        <w:rPr>
          <w:rFonts w:ascii="Arial" w:hAnsi="Arial"/>
          <w:lang w:val="es-ES_tradnl"/>
        </w:rPr>
        <w:t xml:space="preserve"> sus sentimientos mediante signos visibles, comprensibles también para las demás personas con cierta idea (…) de sistema”</w:t>
      </w:r>
      <w:r w:rsidRPr="00C64732">
        <w:rPr>
          <w:rStyle w:val="FootnoteReference"/>
          <w:rFonts w:ascii="Arial" w:hAnsi="Arial"/>
          <w:lang w:val="es-ES_tradnl"/>
        </w:rPr>
        <w:footnoteReference w:id="15"/>
      </w:r>
      <w:r w:rsidRPr="00C64732">
        <w:rPr>
          <w:rFonts w:ascii="Arial" w:hAnsi="Arial"/>
          <w:lang w:val="es-ES_tradnl"/>
        </w:rPr>
        <w:t xml:space="preserve">. Algunas líneas más adelante, luego de un repaso por la historia de la escritura y por el paso decisivo, “revolucionario”, que habría significado su </w:t>
      </w:r>
      <w:proofErr w:type="spellStart"/>
      <w:r w:rsidRPr="00C64732">
        <w:rPr>
          <w:rFonts w:ascii="Arial" w:hAnsi="Arial"/>
          <w:lang w:val="es-ES_tradnl"/>
        </w:rPr>
        <w:t>fonetización</w:t>
      </w:r>
      <w:proofErr w:type="spellEnd"/>
      <w:r w:rsidRPr="00C64732">
        <w:rPr>
          <w:rFonts w:ascii="Arial" w:hAnsi="Arial"/>
          <w:lang w:val="es-ES_tradnl"/>
        </w:rPr>
        <w:t xml:space="preserve">, su división en unidades con valor lingüístico, </w:t>
      </w:r>
      <w:proofErr w:type="spellStart"/>
      <w:r w:rsidRPr="00C64732">
        <w:rPr>
          <w:rFonts w:ascii="Arial" w:hAnsi="Arial"/>
          <w:lang w:val="es-ES_tradnl"/>
        </w:rPr>
        <w:t>Gelb</w:t>
      </w:r>
      <w:proofErr w:type="spellEnd"/>
      <w:r w:rsidRPr="00C64732">
        <w:rPr>
          <w:rFonts w:ascii="Arial" w:hAnsi="Arial"/>
          <w:lang w:val="es-ES_tradnl"/>
        </w:rPr>
        <w:t xml:space="preserve"> descarta que exista una diferencia demasiado sustancial entre la escritura fonética y la no fonética en la medida en que “tanto un tipo como otro de escritura tienen un fin idéntico: la comunicación humana por medio de signos convencionales visibles”</w:t>
      </w:r>
      <w:r w:rsidRPr="00C64732">
        <w:rPr>
          <w:rStyle w:val="FootnoteReference"/>
          <w:rFonts w:ascii="Arial" w:hAnsi="Arial"/>
          <w:lang w:val="es-ES_tradnl"/>
        </w:rPr>
        <w:footnoteReference w:id="16"/>
      </w:r>
      <w:r w:rsidRPr="00C64732">
        <w:rPr>
          <w:rFonts w:ascii="Arial" w:hAnsi="Arial"/>
          <w:lang w:val="es-ES_tradnl"/>
        </w:rPr>
        <w:t>. Así, si el origen de la escritura estuvo marcado por la necesidad humana de comunicar, ese origen marcará a fuego, y para siempre, el fin propio de la escritura, es decir de toda escritura: la comunicación humana.</w:t>
      </w:r>
    </w:p>
    <w:p w:rsidR="00C64732" w:rsidRPr="00C64732" w:rsidRDefault="00C64732" w:rsidP="00C64732">
      <w:pPr>
        <w:spacing w:line="360" w:lineRule="auto"/>
        <w:jc w:val="both"/>
        <w:rPr>
          <w:rFonts w:ascii="Arial" w:hAnsi="Arial"/>
          <w:lang w:val="es-ES_tradnl"/>
        </w:rPr>
      </w:pPr>
      <w:r w:rsidRPr="00C64732">
        <w:rPr>
          <w:rFonts w:ascii="Arial" w:hAnsi="Arial"/>
          <w:lang w:val="es-ES_tradnl"/>
        </w:rPr>
        <w:t xml:space="preserve">Sin embargo, </w:t>
      </w:r>
      <w:proofErr w:type="spellStart"/>
      <w:r w:rsidRPr="00C64732">
        <w:rPr>
          <w:rFonts w:ascii="Arial" w:hAnsi="Arial"/>
          <w:lang w:val="es-ES_tradnl"/>
        </w:rPr>
        <w:t>Blanchot</w:t>
      </w:r>
      <w:proofErr w:type="spellEnd"/>
      <w:r w:rsidRPr="00C64732">
        <w:rPr>
          <w:rFonts w:ascii="Arial" w:hAnsi="Arial"/>
          <w:lang w:val="es-ES_tradnl"/>
        </w:rPr>
        <w:t xml:space="preserve">, que no descarta de ningún modo (¿pues quién podría descartarlo?) ese fin originario y siempre presente de la escritura, cree que hay, en la escritura, algo más que la sola comunicación y es precisamente ese algo más lo que, con ella, hace comunidad. Para </w:t>
      </w:r>
      <w:proofErr w:type="spellStart"/>
      <w:r w:rsidRPr="00C64732">
        <w:rPr>
          <w:rFonts w:ascii="Arial" w:hAnsi="Arial"/>
          <w:lang w:val="es-ES_tradnl"/>
        </w:rPr>
        <w:t>Blanchot</w:t>
      </w:r>
      <w:proofErr w:type="spellEnd"/>
      <w:r w:rsidRPr="00C64732">
        <w:rPr>
          <w:rFonts w:ascii="Arial" w:hAnsi="Arial"/>
          <w:lang w:val="es-ES_tradnl"/>
        </w:rPr>
        <w:t xml:space="preserve"> la escritura no sólo comunica, sino que transmite, y eso que transmite es, finalmente, lo común que sólo ella puede transmitir y volver presente, aunque sin estar plenamente presente, con su gesto, con su trazado, con su movimiento que es el gesto el trazado y el movimiento de la mano, de cada mano que, de hecho, no está nunca presente en el papel escrito. La escritura está, en su seno, dividida </w:t>
      </w:r>
      <w:r w:rsidRPr="00C64732">
        <w:rPr>
          <w:rFonts w:ascii="Arial" w:hAnsi="Arial"/>
          <w:i/>
          <w:lang w:val="es-ES_tradnl"/>
        </w:rPr>
        <w:t>entre</w:t>
      </w:r>
      <w:r w:rsidRPr="00C64732">
        <w:rPr>
          <w:rFonts w:ascii="Arial" w:hAnsi="Arial"/>
          <w:lang w:val="es-ES_tradnl"/>
        </w:rPr>
        <w:t xml:space="preserve"> lo que ella comunica: un mensaje, un sentido, </w:t>
      </w:r>
      <w:r w:rsidRPr="00C64732">
        <w:rPr>
          <w:rFonts w:ascii="Arial" w:hAnsi="Arial"/>
          <w:i/>
          <w:lang w:val="es-ES_tradnl"/>
        </w:rPr>
        <w:t>y entre</w:t>
      </w:r>
      <w:r w:rsidRPr="00C64732">
        <w:rPr>
          <w:rFonts w:ascii="Arial" w:hAnsi="Arial"/>
          <w:lang w:val="es-ES_tradnl"/>
        </w:rPr>
        <w:t xml:space="preserve"> lo que ella transmite como común, como ser en común pero como propio de cada uno que escribe. Y que transmite y no comunica porque, lo que con ella hace lazo, hace comunidad, lo que en ella es común a cada uno que escribe, a cada ser humano, es inconfesable.           </w:t>
      </w:r>
    </w:p>
    <w:p w:rsidR="00C64732" w:rsidRDefault="00C64732" w:rsidP="00C64732">
      <w:pPr>
        <w:spacing w:line="360" w:lineRule="auto"/>
        <w:jc w:val="both"/>
        <w:rPr>
          <w:rFonts w:ascii="Arial" w:hAnsi="Arial"/>
          <w:lang w:val="es-ES_tradnl"/>
        </w:rPr>
      </w:pPr>
      <w:r w:rsidRPr="00C64732">
        <w:rPr>
          <w:rFonts w:ascii="Arial" w:hAnsi="Arial"/>
          <w:lang w:val="es-ES_tradnl"/>
        </w:rPr>
        <w:t xml:space="preserve">De la ruptura con la escritura como medio de comunicación, de la ruptura con la escritura como comunidad que se comunica, que hace lazo social y tiene lugar, sólo se puede, pues, </w:t>
      </w:r>
      <w:r w:rsidRPr="00C64732">
        <w:rPr>
          <w:rFonts w:ascii="Arial" w:hAnsi="Arial"/>
          <w:i/>
          <w:lang w:val="es-ES_tradnl"/>
        </w:rPr>
        <w:t>ir más lejos</w:t>
      </w:r>
      <w:r w:rsidRPr="00C64732">
        <w:rPr>
          <w:rFonts w:ascii="Arial" w:hAnsi="Arial"/>
          <w:lang w:val="es-ES_tradnl"/>
        </w:rPr>
        <w:t>.</w:t>
      </w:r>
    </w:p>
    <w:p w:rsidR="00C64732" w:rsidRDefault="00C64732" w:rsidP="00C64732">
      <w:pPr>
        <w:spacing w:line="360" w:lineRule="auto"/>
        <w:jc w:val="both"/>
        <w:rPr>
          <w:rFonts w:ascii="Arial" w:hAnsi="Arial"/>
          <w:lang w:val="es-ES_tradnl"/>
        </w:rPr>
      </w:pPr>
    </w:p>
    <w:p w:rsidR="00C64732" w:rsidRPr="00C64732" w:rsidRDefault="00C64732" w:rsidP="00C64732">
      <w:pPr>
        <w:spacing w:line="360" w:lineRule="auto"/>
        <w:jc w:val="both"/>
        <w:rPr>
          <w:rFonts w:ascii="Arial" w:hAnsi="Arial"/>
          <w:b/>
          <w:lang w:val="es-ES_tradnl"/>
        </w:rPr>
      </w:pPr>
      <w:r w:rsidRPr="00C64732">
        <w:rPr>
          <w:rFonts w:ascii="Arial" w:hAnsi="Arial"/>
          <w:b/>
          <w:lang w:val="es-ES_tradnl"/>
        </w:rPr>
        <w:t>Bibliografía:</w:t>
      </w:r>
    </w:p>
    <w:p w:rsidR="00C64732" w:rsidRPr="00C64732" w:rsidRDefault="00C64732" w:rsidP="00C64732">
      <w:pPr>
        <w:pStyle w:val="FootnoteText"/>
        <w:spacing w:line="360" w:lineRule="auto"/>
        <w:jc w:val="both"/>
        <w:rPr>
          <w:rFonts w:ascii="Arial" w:hAnsi="Arial"/>
          <w:sz w:val="22"/>
        </w:rPr>
      </w:pPr>
      <w:r w:rsidRPr="00C64732">
        <w:rPr>
          <w:rFonts w:ascii="Arial" w:hAnsi="Arial"/>
          <w:sz w:val="22"/>
          <w:lang w:val="es-ES_tradnl"/>
        </w:rPr>
        <w:t>Aristóteles : P</w:t>
      </w:r>
      <w:r w:rsidRPr="00C64732">
        <w:rPr>
          <w:rFonts w:ascii="Arial" w:hAnsi="Arial"/>
          <w:i/>
          <w:sz w:val="22"/>
          <w:lang w:val="es-ES_tradnl"/>
        </w:rPr>
        <w:t>olítica</w:t>
      </w:r>
      <w:r w:rsidRPr="00C64732">
        <w:rPr>
          <w:rFonts w:ascii="Arial" w:hAnsi="Arial"/>
          <w:sz w:val="22"/>
          <w:lang w:val="es-ES_tradnl"/>
        </w:rPr>
        <w:t>, Buenos Aires, Losada, 2005</w:t>
      </w:r>
    </w:p>
    <w:p w:rsidR="00C64732" w:rsidRPr="00C64732" w:rsidRDefault="00C64732" w:rsidP="00C64732">
      <w:pPr>
        <w:pStyle w:val="FootnoteText"/>
        <w:spacing w:line="360" w:lineRule="auto"/>
        <w:jc w:val="both"/>
        <w:rPr>
          <w:rFonts w:ascii="Arial" w:hAnsi="Arial"/>
          <w:sz w:val="22"/>
        </w:rPr>
      </w:pPr>
      <w:r w:rsidRPr="00C64732">
        <w:rPr>
          <w:rFonts w:ascii="Arial" w:hAnsi="Arial"/>
          <w:sz w:val="22"/>
        </w:rPr>
        <w:t xml:space="preserve">Barthes, Roland : </w:t>
      </w:r>
      <w:r w:rsidRPr="00C64732">
        <w:rPr>
          <w:rFonts w:ascii="Arial" w:hAnsi="Arial"/>
          <w:i/>
          <w:sz w:val="22"/>
        </w:rPr>
        <w:t xml:space="preserve">El </w:t>
      </w:r>
      <w:proofErr w:type="spellStart"/>
      <w:r w:rsidRPr="00C64732">
        <w:rPr>
          <w:rFonts w:ascii="Arial" w:hAnsi="Arial"/>
          <w:i/>
          <w:sz w:val="22"/>
        </w:rPr>
        <w:t>grado</w:t>
      </w:r>
      <w:proofErr w:type="spellEnd"/>
      <w:r w:rsidRPr="00C64732">
        <w:rPr>
          <w:rFonts w:ascii="Arial" w:hAnsi="Arial"/>
          <w:i/>
          <w:sz w:val="22"/>
        </w:rPr>
        <w:t xml:space="preserve"> </w:t>
      </w:r>
      <w:proofErr w:type="spellStart"/>
      <w:r w:rsidRPr="00C64732">
        <w:rPr>
          <w:rFonts w:ascii="Arial" w:hAnsi="Arial"/>
          <w:i/>
          <w:sz w:val="22"/>
        </w:rPr>
        <w:t>cero</w:t>
      </w:r>
      <w:proofErr w:type="spellEnd"/>
      <w:r w:rsidRPr="00C64732">
        <w:rPr>
          <w:rFonts w:ascii="Arial" w:hAnsi="Arial"/>
          <w:i/>
          <w:sz w:val="22"/>
        </w:rPr>
        <w:t xml:space="preserve"> de la </w:t>
      </w:r>
      <w:proofErr w:type="spellStart"/>
      <w:r w:rsidRPr="00C64732">
        <w:rPr>
          <w:rFonts w:ascii="Arial" w:hAnsi="Arial"/>
          <w:i/>
          <w:sz w:val="22"/>
        </w:rPr>
        <w:t>escritura</w:t>
      </w:r>
      <w:proofErr w:type="spellEnd"/>
      <w:r w:rsidRPr="00C64732">
        <w:rPr>
          <w:rFonts w:ascii="Arial" w:hAnsi="Arial"/>
          <w:sz w:val="22"/>
        </w:rPr>
        <w:t xml:space="preserve">, Buenos Aires, </w:t>
      </w:r>
      <w:proofErr w:type="spellStart"/>
      <w:r w:rsidRPr="00C64732">
        <w:rPr>
          <w:rFonts w:ascii="Arial" w:hAnsi="Arial"/>
          <w:sz w:val="22"/>
        </w:rPr>
        <w:t>Siglo</w:t>
      </w:r>
      <w:proofErr w:type="spellEnd"/>
      <w:r w:rsidRPr="00C64732">
        <w:rPr>
          <w:rFonts w:ascii="Arial" w:hAnsi="Arial"/>
          <w:sz w:val="22"/>
        </w:rPr>
        <w:t xml:space="preserve">  XXI.</w:t>
      </w:r>
    </w:p>
    <w:p w:rsidR="00C64732" w:rsidRPr="00C64732" w:rsidRDefault="00C64732" w:rsidP="00C64732">
      <w:pPr>
        <w:pStyle w:val="FootnoteText"/>
        <w:spacing w:line="360" w:lineRule="auto"/>
        <w:jc w:val="both"/>
        <w:rPr>
          <w:rFonts w:ascii="Arial" w:hAnsi="Arial"/>
          <w:sz w:val="22"/>
        </w:rPr>
      </w:pPr>
      <w:r w:rsidRPr="00C64732">
        <w:rPr>
          <w:rFonts w:ascii="Arial" w:hAnsi="Arial"/>
          <w:sz w:val="22"/>
        </w:rPr>
        <w:t xml:space="preserve">Blanchot, Maurice : </w:t>
      </w:r>
      <w:r w:rsidRPr="00C64732">
        <w:rPr>
          <w:rFonts w:ascii="Arial" w:hAnsi="Arial"/>
          <w:i/>
          <w:sz w:val="22"/>
        </w:rPr>
        <w:t xml:space="preserve">La </w:t>
      </w:r>
      <w:proofErr w:type="spellStart"/>
      <w:r w:rsidRPr="00C64732">
        <w:rPr>
          <w:rFonts w:ascii="Arial" w:hAnsi="Arial"/>
          <w:i/>
          <w:sz w:val="22"/>
        </w:rPr>
        <w:t>comunidad</w:t>
      </w:r>
      <w:proofErr w:type="spellEnd"/>
      <w:r w:rsidRPr="00C64732">
        <w:rPr>
          <w:rFonts w:ascii="Arial" w:hAnsi="Arial"/>
          <w:i/>
          <w:sz w:val="22"/>
        </w:rPr>
        <w:t xml:space="preserve"> </w:t>
      </w:r>
      <w:proofErr w:type="spellStart"/>
      <w:r w:rsidRPr="00C64732">
        <w:rPr>
          <w:rFonts w:ascii="Arial" w:hAnsi="Arial"/>
          <w:i/>
          <w:sz w:val="22"/>
        </w:rPr>
        <w:t>inconfesable</w:t>
      </w:r>
      <w:proofErr w:type="spellEnd"/>
      <w:r w:rsidRPr="00C64732">
        <w:rPr>
          <w:rFonts w:ascii="Arial" w:hAnsi="Arial"/>
          <w:sz w:val="22"/>
        </w:rPr>
        <w:t xml:space="preserve">, Madrid, </w:t>
      </w:r>
      <w:proofErr w:type="spellStart"/>
      <w:r w:rsidRPr="00C64732">
        <w:rPr>
          <w:rFonts w:ascii="Arial" w:hAnsi="Arial"/>
          <w:sz w:val="22"/>
        </w:rPr>
        <w:t>Arena</w:t>
      </w:r>
      <w:proofErr w:type="spellEnd"/>
      <w:r w:rsidRPr="00C64732">
        <w:rPr>
          <w:rFonts w:ascii="Arial" w:hAnsi="Arial"/>
          <w:sz w:val="22"/>
        </w:rPr>
        <w:t xml:space="preserve"> </w:t>
      </w:r>
      <w:proofErr w:type="spellStart"/>
      <w:r w:rsidRPr="00C64732">
        <w:rPr>
          <w:rFonts w:ascii="Arial" w:hAnsi="Arial"/>
          <w:sz w:val="22"/>
        </w:rPr>
        <w:t>Libros</w:t>
      </w:r>
      <w:proofErr w:type="spellEnd"/>
      <w:r w:rsidRPr="00C64732">
        <w:rPr>
          <w:rFonts w:ascii="Arial" w:hAnsi="Arial"/>
          <w:sz w:val="22"/>
        </w:rPr>
        <w:t>, 2002</w:t>
      </w:r>
    </w:p>
    <w:p w:rsidR="00C64732" w:rsidRPr="00C64732" w:rsidRDefault="00C64732" w:rsidP="00C64732">
      <w:pPr>
        <w:pStyle w:val="FootnoteText"/>
        <w:spacing w:line="360" w:lineRule="auto"/>
        <w:jc w:val="both"/>
        <w:rPr>
          <w:rFonts w:ascii="Arial" w:hAnsi="Arial"/>
          <w:sz w:val="22"/>
        </w:rPr>
      </w:pPr>
      <w:r w:rsidRPr="00C64732">
        <w:rPr>
          <w:rFonts w:ascii="Arial" w:hAnsi="Arial"/>
          <w:sz w:val="22"/>
          <w:lang w:val="es-ES_tradnl"/>
        </w:rPr>
        <w:t xml:space="preserve">Derrida, Jacques : </w:t>
      </w:r>
      <w:r w:rsidRPr="00C64732">
        <w:rPr>
          <w:rFonts w:ascii="Arial" w:hAnsi="Arial"/>
          <w:i/>
          <w:sz w:val="22"/>
          <w:lang w:val="es-ES_tradnl"/>
        </w:rPr>
        <w:t xml:space="preserve">De la </w:t>
      </w:r>
      <w:proofErr w:type="spellStart"/>
      <w:r w:rsidRPr="00C64732">
        <w:rPr>
          <w:rFonts w:ascii="Arial" w:hAnsi="Arial"/>
          <w:i/>
          <w:sz w:val="22"/>
          <w:lang w:val="es-ES_tradnl"/>
        </w:rPr>
        <w:t>gramatología</w:t>
      </w:r>
      <w:proofErr w:type="spellEnd"/>
      <w:r w:rsidRPr="00C64732">
        <w:rPr>
          <w:rFonts w:ascii="Arial" w:hAnsi="Arial"/>
          <w:i/>
          <w:sz w:val="22"/>
          <w:lang w:val="es-ES_tradnl"/>
        </w:rPr>
        <w:t>,</w:t>
      </w:r>
      <w:r w:rsidRPr="00C64732">
        <w:rPr>
          <w:rFonts w:ascii="Arial" w:hAnsi="Arial"/>
          <w:sz w:val="22"/>
          <w:lang w:val="es-ES_tradnl"/>
        </w:rPr>
        <w:t xml:space="preserve"> México D.F., Siglo XXI, 1998</w:t>
      </w:r>
    </w:p>
    <w:p w:rsidR="00C64732" w:rsidRPr="00C64732" w:rsidRDefault="00C64732" w:rsidP="00C64732">
      <w:pPr>
        <w:pStyle w:val="FootnoteText"/>
        <w:spacing w:line="360" w:lineRule="auto"/>
        <w:jc w:val="both"/>
        <w:rPr>
          <w:rFonts w:ascii="Arial" w:hAnsi="Arial"/>
          <w:sz w:val="22"/>
        </w:rPr>
      </w:pPr>
      <w:r w:rsidRPr="00C64732">
        <w:rPr>
          <w:rFonts w:ascii="Arial" w:hAnsi="Arial"/>
          <w:sz w:val="22"/>
          <w:lang w:val="es-ES_tradnl"/>
        </w:rPr>
        <w:t xml:space="preserve">Derrida, Jacques: </w:t>
      </w:r>
      <w:r w:rsidRPr="00C64732">
        <w:rPr>
          <w:rFonts w:ascii="Arial" w:hAnsi="Arial"/>
          <w:i/>
          <w:sz w:val="22"/>
          <w:lang w:val="es-ES_tradnl"/>
        </w:rPr>
        <w:t>Márgenes de la filosofía</w:t>
      </w:r>
      <w:r w:rsidRPr="00C64732">
        <w:rPr>
          <w:rFonts w:ascii="Arial" w:hAnsi="Arial"/>
          <w:sz w:val="22"/>
          <w:lang w:val="es-ES_tradnl"/>
        </w:rPr>
        <w:t>, Madrid, Cátedra, 2010.</w:t>
      </w:r>
    </w:p>
    <w:p w:rsidR="00C64732" w:rsidRPr="00C64732" w:rsidRDefault="00C64732" w:rsidP="00C64732">
      <w:pPr>
        <w:pStyle w:val="FootnoteText"/>
        <w:spacing w:line="360" w:lineRule="auto"/>
        <w:jc w:val="both"/>
        <w:rPr>
          <w:rFonts w:ascii="Arial" w:hAnsi="Arial"/>
          <w:sz w:val="22"/>
        </w:rPr>
      </w:pPr>
      <w:proofErr w:type="spellStart"/>
      <w:r w:rsidRPr="00C64732">
        <w:rPr>
          <w:rFonts w:ascii="Arial" w:hAnsi="Arial"/>
          <w:sz w:val="22"/>
        </w:rPr>
        <w:t>Gelb</w:t>
      </w:r>
      <w:proofErr w:type="spellEnd"/>
      <w:r w:rsidRPr="00C64732">
        <w:rPr>
          <w:rFonts w:ascii="Arial" w:hAnsi="Arial"/>
          <w:sz w:val="22"/>
        </w:rPr>
        <w:t xml:space="preserve">, Ignace J. : </w:t>
      </w:r>
      <w:r w:rsidRPr="00C64732">
        <w:rPr>
          <w:rFonts w:ascii="Arial" w:hAnsi="Arial"/>
          <w:i/>
          <w:sz w:val="22"/>
        </w:rPr>
        <w:t xml:space="preserve">Historia de la </w:t>
      </w:r>
      <w:proofErr w:type="spellStart"/>
      <w:r w:rsidRPr="00C64732">
        <w:rPr>
          <w:rFonts w:ascii="Arial" w:hAnsi="Arial"/>
          <w:i/>
          <w:sz w:val="22"/>
        </w:rPr>
        <w:t>escritura</w:t>
      </w:r>
      <w:proofErr w:type="spellEnd"/>
      <w:r w:rsidRPr="00C64732">
        <w:rPr>
          <w:rFonts w:ascii="Arial" w:hAnsi="Arial"/>
          <w:sz w:val="22"/>
        </w:rPr>
        <w:t xml:space="preserve">, Madrid, </w:t>
      </w:r>
      <w:proofErr w:type="spellStart"/>
      <w:r w:rsidRPr="00C64732">
        <w:rPr>
          <w:rFonts w:ascii="Arial" w:hAnsi="Arial"/>
          <w:sz w:val="22"/>
        </w:rPr>
        <w:t>Alianza</w:t>
      </w:r>
      <w:proofErr w:type="spellEnd"/>
      <w:r w:rsidRPr="00C64732">
        <w:rPr>
          <w:rFonts w:ascii="Arial" w:hAnsi="Arial"/>
          <w:sz w:val="22"/>
        </w:rPr>
        <w:t xml:space="preserve"> </w:t>
      </w:r>
      <w:proofErr w:type="spellStart"/>
      <w:r w:rsidRPr="00C64732">
        <w:rPr>
          <w:rFonts w:ascii="Arial" w:hAnsi="Arial"/>
          <w:sz w:val="22"/>
        </w:rPr>
        <w:t>editorial</w:t>
      </w:r>
      <w:proofErr w:type="spellEnd"/>
      <w:r w:rsidRPr="00C64732">
        <w:rPr>
          <w:rFonts w:ascii="Arial" w:hAnsi="Arial"/>
          <w:sz w:val="22"/>
        </w:rPr>
        <w:t>, 1976</w:t>
      </w:r>
    </w:p>
    <w:p w:rsidR="00C64732" w:rsidRPr="00C64732" w:rsidRDefault="00C64732" w:rsidP="00C64732">
      <w:pPr>
        <w:pStyle w:val="FootnoteText"/>
        <w:spacing w:line="360" w:lineRule="auto"/>
        <w:jc w:val="both"/>
        <w:rPr>
          <w:rFonts w:ascii="Arial" w:hAnsi="Arial"/>
          <w:sz w:val="22"/>
        </w:rPr>
      </w:pPr>
      <w:r w:rsidRPr="00C64732">
        <w:rPr>
          <w:rFonts w:ascii="Arial" w:hAnsi="Arial"/>
          <w:sz w:val="22"/>
        </w:rPr>
        <w:t>Nancy, J. L. :</w:t>
      </w:r>
      <w:r w:rsidRPr="00C64732">
        <w:rPr>
          <w:rFonts w:ascii="Arial" w:hAnsi="Arial"/>
          <w:i/>
          <w:sz w:val="22"/>
        </w:rPr>
        <w:t xml:space="preserve"> La </w:t>
      </w:r>
      <w:proofErr w:type="spellStart"/>
      <w:r w:rsidRPr="00C64732">
        <w:rPr>
          <w:rFonts w:ascii="Arial" w:hAnsi="Arial"/>
          <w:i/>
          <w:sz w:val="22"/>
        </w:rPr>
        <w:t>comunidad</w:t>
      </w:r>
      <w:proofErr w:type="spellEnd"/>
      <w:r w:rsidRPr="00C64732">
        <w:rPr>
          <w:rFonts w:ascii="Arial" w:hAnsi="Arial"/>
          <w:i/>
          <w:sz w:val="22"/>
        </w:rPr>
        <w:t xml:space="preserve"> </w:t>
      </w:r>
      <w:proofErr w:type="spellStart"/>
      <w:r w:rsidRPr="00C64732">
        <w:rPr>
          <w:rFonts w:ascii="Arial" w:hAnsi="Arial"/>
          <w:i/>
          <w:sz w:val="22"/>
        </w:rPr>
        <w:t>desobrada</w:t>
      </w:r>
      <w:proofErr w:type="spellEnd"/>
      <w:r w:rsidRPr="00C64732">
        <w:rPr>
          <w:rFonts w:ascii="Arial" w:hAnsi="Arial"/>
          <w:sz w:val="22"/>
        </w:rPr>
        <w:t xml:space="preserve">, Madrid, </w:t>
      </w:r>
      <w:proofErr w:type="spellStart"/>
      <w:r w:rsidRPr="00C64732">
        <w:rPr>
          <w:rFonts w:ascii="Arial" w:hAnsi="Arial"/>
          <w:sz w:val="22"/>
        </w:rPr>
        <w:t>Arena</w:t>
      </w:r>
      <w:proofErr w:type="spellEnd"/>
      <w:r w:rsidRPr="00C64732">
        <w:rPr>
          <w:rFonts w:ascii="Arial" w:hAnsi="Arial"/>
          <w:sz w:val="22"/>
        </w:rPr>
        <w:t xml:space="preserve"> </w:t>
      </w:r>
      <w:proofErr w:type="spellStart"/>
      <w:r w:rsidRPr="00C64732">
        <w:rPr>
          <w:rFonts w:ascii="Arial" w:hAnsi="Arial"/>
          <w:sz w:val="22"/>
        </w:rPr>
        <w:t>Libros</w:t>
      </w:r>
      <w:proofErr w:type="spellEnd"/>
      <w:r w:rsidRPr="00C64732">
        <w:rPr>
          <w:rFonts w:ascii="Arial" w:hAnsi="Arial"/>
          <w:sz w:val="22"/>
        </w:rPr>
        <w:t>, 2001.</w:t>
      </w:r>
    </w:p>
    <w:p w:rsidR="00C64732" w:rsidRPr="00C64732" w:rsidRDefault="00C64732" w:rsidP="00C64732">
      <w:pPr>
        <w:pStyle w:val="FootnoteText"/>
        <w:spacing w:line="360" w:lineRule="auto"/>
        <w:jc w:val="both"/>
        <w:rPr>
          <w:rFonts w:ascii="Arial" w:hAnsi="Arial"/>
          <w:sz w:val="22"/>
        </w:rPr>
      </w:pPr>
      <w:r w:rsidRPr="00C64732">
        <w:rPr>
          <w:rFonts w:ascii="Arial" w:hAnsi="Arial"/>
          <w:sz w:val="22"/>
        </w:rPr>
        <w:t xml:space="preserve">Nancy, J. L. : </w:t>
      </w:r>
      <w:r w:rsidRPr="00C64732">
        <w:rPr>
          <w:rFonts w:ascii="Arial" w:hAnsi="Arial"/>
          <w:i/>
          <w:sz w:val="22"/>
        </w:rPr>
        <w:t xml:space="preserve">La </w:t>
      </w:r>
      <w:proofErr w:type="spellStart"/>
      <w:r w:rsidRPr="00C64732">
        <w:rPr>
          <w:rFonts w:ascii="Arial" w:hAnsi="Arial"/>
          <w:i/>
          <w:sz w:val="22"/>
        </w:rPr>
        <w:t>comunidad</w:t>
      </w:r>
      <w:proofErr w:type="spellEnd"/>
      <w:r w:rsidRPr="00C64732">
        <w:rPr>
          <w:rFonts w:ascii="Arial" w:hAnsi="Arial"/>
          <w:i/>
          <w:sz w:val="22"/>
        </w:rPr>
        <w:t xml:space="preserve"> </w:t>
      </w:r>
      <w:proofErr w:type="spellStart"/>
      <w:r w:rsidRPr="00C64732">
        <w:rPr>
          <w:rFonts w:ascii="Arial" w:hAnsi="Arial"/>
          <w:i/>
          <w:sz w:val="22"/>
        </w:rPr>
        <w:t>revocada</w:t>
      </w:r>
      <w:proofErr w:type="spellEnd"/>
      <w:r w:rsidRPr="00C64732">
        <w:rPr>
          <w:rFonts w:ascii="Arial" w:hAnsi="Arial"/>
          <w:sz w:val="22"/>
        </w:rPr>
        <w:t xml:space="preserve">, Buenos Aires, Mar </w:t>
      </w:r>
      <w:proofErr w:type="spellStart"/>
      <w:r w:rsidRPr="00C64732">
        <w:rPr>
          <w:rFonts w:ascii="Arial" w:hAnsi="Arial"/>
          <w:sz w:val="22"/>
        </w:rPr>
        <w:t>Dulce</w:t>
      </w:r>
      <w:proofErr w:type="spellEnd"/>
      <w:r w:rsidRPr="00C64732">
        <w:rPr>
          <w:rFonts w:ascii="Arial" w:hAnsi="Arial"/>
          <w:sz w:val="22"/>
        </w:rPr>
        <w:t>, 2016</w:t>
      </w:r>
    </w:p>
    <w:p w:rsidR="00C64732" w:rsidRPr="00C64732" w:rsidRDefault="00C64732" w:rsidP="00C64732">
      <w:pPr>
        <w:spacing w:line="360" w:lineRule="auto"/>
        <w:jc w:val="both"/>
        <w:rPr>
          <w:rFonts w:ascii="Arial" w:hAnsi="Arial"/>
          <w:b/>
          <w:lang w:val="es-ES_tradnl"/>
        </w:rPr>
      </w:pPr>
    </w:p>
    <w:p w:rsidR="00C64732" w:rsidRPr="00C64732" w:rsidRDefault="00C64732" w:rsidP="00C64732">
      <w:pPr>
        <w:spacing w:line="360" w:lineRule="auto"/>
        <w:jc w:val="both"/>
        <w:rPr>
          <w:rFonts w:ascii="Arial" w:hAnsi="Arial"/>
          <w:b/>
          <w:lang w:val="es-ES_tradnl"/>
        </w:rPr>
      </w:pPr>
    </w:p>
    <w:p w:rsidR="002E555B" w:rsidRPr="00C64732" w:rsidRDefault="002E555B" w:rsidP="002E555B">
      <w:pPr>
        <w:jc w:val="center"/>
        <w:rPr>
          <w:rFonts w:ascii="Arial" w:hAnsi="Arial" w:cs="Arial"/>
          <w:sz w:val="28"/>
          <w:szCs w:val="28"/>
          <w:lang w:val="es-ES_tradnl"/>
        </w:rPr>
      </w:pPr>
    </w:p>
    <w:sectPr w:rsidR="002E555B" w:rsidRPr="00C64732" w:rsidSect="00AD5F4D">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E7A96" w:rsidRDefault="00FE7A96" w:rsidP="00391728">
      <w:pPr>
        <w:spacing w:after="0" w:line="240" w:lineRule="auto"/>
      </w:pPr>
      <w:r>
        <w:separator/>
      </w:r>
    </w:p>
  </w:endnote>
  <w:endnote w:type="continuationSeparator" w:id="1">
    <w:p w:rsidR="00FE7A96" w:rsidRDefault="00FE7A96" w:rsidP="00391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E7A96" w:rsidRPr="00391728" w:rsidRDefault="00FE7A96" w:rsidP="00391728">
    <w:pPr>
      <w:pStyle w:val="Footer"/>
      <w:tabs>
        <w:tab w:val="clear" w:pos="4252"/>
        <w:tab w:val="clear" w:pos="8504"/>
        <w:tab w:val="left" w:pos="1155"/>
        <w:tab w:val="left" w:pos="2700"/>
      </w:tabs>
      <w:jc w:val="both"/>
      <w:rPr>
        <w:rFonts w:ascii="Arial" w:hAnsi="Arial" w:cs="Arial"/>
      </w:rPr>
    </w:pPr>
    <w:r w:rsidRPr="00391728">
      <w:rPr>
        <w:rFonts w:ascii="Arial" w:hAnsi="Arial" w:cs="Arial"/>
      </w:rPr>
      <w:t>II Congreso Latinoamericano de Teoría Social y  Teoría Política</w:t>
    </w:r>
    <w:r>
      <w:rPr>
        <w:rFonts w:ascii="Arial" w:hAnsi="Arial" w:cs="Arial"/>
      </w:rPr>
      <w:t xml:space="preserve"> - Facultad de Ciencias Sociales, Universidad de Buenos Aires - </w:t>
    </w:r>
    <w:r w:rsidRPr="00391728">
      <w:rPr>
        <w:rFonts w:ascii="Arial" w:hAnsi="Arial" w:cs="Arial"/>
      </w:rPr>
      <w:t xml:space="preserve">Buenos Aires, </w:t>
    </w:r>
    <w:r>
      <w:rPr>
        <w:rFonts w:ascii="Arial" w:hAnsi="Arial" w:cs="Arial"/>
      </w:rPr>
      <w:t>Argentina</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E7A96" w:rsidRDefault="00FE7A96" w:rsidP="00391728">
      <w:pPr>
        <w:spacing w:after="0" w:line="240" w:lineRule="auto"/>
      </w:pPr>
      <w:r>
        <w:separator/>
      </w:r>
    </w:p>
  </w:footnote>
  <w:footnote w:type="continuationSeparator" w:id="1">
    <w:p w:rsidR="00FE7A96" w:rsidRDefault="00FE7A96" w:rsidP="00391728">
      <w:pPr>
        <w:spacing w:after="0" w:line="240" w:lineRule="auto"/>
      </w:pPr>
      <w:r>
        <w:continuationSeparator/>
      </w:r>
    </w:p>
  </w:footnote>
  <w:footnote w:id="2">
    <w:p w:rsidR="00FE7A96" w:rsidRPr="006F46BB" w:rsidRDefault="00FE7A96" w:rsidP="00C64732">
      <w:pPr>
        <w:pStyle w:val="FootnoteText"/>
        <w:jc w:val="both"/>
        <w:rPr>
          <w:rFonts w:ascii="Times New Roman" w:hAnsi="Times New Roman"/>
          <w:sz w:val="20"/>
          <w:lang w:val="es-ES_tradnl"/>
        </w:rPr>
      </w:pPr>
      <w:r w:rsidRPr="006F46BB">
        <w:rPr>
          <w:rStyle w:val="FootnoteReference"/>
          <w:rFonts w:ascii="Times New Roman" w:hAnsi="Times New Roman"/>
          <w:sz w:val="20"/>
          <w:lang w:val="es-ES_tradnl"/>
        </w:rPr>
        <w:footnoteRef/>
      </w:r>
      <w:r w:rsidRPr="006F46BB">
        <w:rPr>
          <w:rFonts w:ascii="Times New Roman" w:hAnsi="Times New Roman"/>
          <w:sz w:val="20"/>
          <w:lang w:val="es-ES_tradnl"/>
        </w:rPr>
        <w:t xml:space="preserve"> Bataille, George, citado por Nancy en : « La comunidad </w:t>
      </w:r>
      <w:proofErr w:type="spellStart"/>
      <w:r w:rsidRPr="006F46BB">
        <w:rPr>
          <w:rFonts w:ascii="Times New Roman" w:hAnsi="Times New Roman"/>
          <w:sz w:val="20"/>
          <w:lang w:val="es-ES_tradnl"/>
        </w:rPr>
        <w:t>desobrada</w:t>
      </w:r>
      <w:proofErr w:type="spellEnd"/>
      <w:r w:rsidRPr="006F46BB">
        <w:rPr>
          <w:rFonts w:ascii="Times New Roman" w:hAnsi="Times New Roman"/>
          <w:sz w:val="20"/>
          <w:lang w:val="es-ES_tradnl"/>
        </w:rPr>
        <w:t> », J. L. Nancy, Madrid, Arena Libros, 2001, p. 78.</w:t>
      </w:r>
    </w:p>
  </w:footnote>
  <w:footnote w:id="3">
    <w:p w:rsidR="00FE7A96" w:rsidRPr="006F46BB" w:rsidRDefault="00FE7A96" w:rsidP="00C64732">
      <w:pPr>
        <w:pStyle w:val="FootnoteText"/>
        <w:jc w:val="both"/>
        <w:rPr>
          <w:rFonts w:ascii="Times New Roman" w:hAnsi="Times New Roman"/>
          <w:sz w:val="20"/>
          <w:lang w:val="es-ES_tradnl"/>
        </w:rPr>
      </w:pPr>
      <w:r w:rsidRPr="006F46BB">
        <w:rPr>
          <w:rStyle w:val="FootnoteReference"/>
          <w:rFonts w:ascii="Times New Roman" w:hAnsi="Times New Roman"/>
          <w:sz w:val="20"/>
          <w:lang w:val="es-ES_tradnl"/>
        </w:rPr>
        <w:footnoteRef/>
      </w:r>
      <w:r w:rsidRPr="006F46BB">
        <w:rPr>
          <w:rFonts w:ascii="Times New Roman" w:hAnsi="Times New Roman"/>
          <w:sz w:val="20"/>
          <w:lang w:val="es-ES_tradnl"/>
        </w:rPr>
        <w:t xml:space="preserve"> </w:t>
      </w:r>
      <w:proofErr w:type="spellStart"/>
      <w:r w:rsidRPr="006F46BB">
        <w:rPr>
          <w:rFonts w:ascii="Times New Roman" w:hAnsi="Times New Roman"/>
          <w:sz w:val="20"/>
          <w:lang w:val="es-ES_tradnl"/>
        </w:rPr>
        <w:t>Blanchot</w:t>
      </w:r>
      <w:proofErr w:type="spellEnd"/>
      <w:r w:rsidRPr="006F46BB">
        <w:rPr>
          <w:rFonts w:ascii="Times New Roman" w:hAnsi="Times New Roman"/>
          <w:sz w:val="20"/>
          <w:lang w:val="es-ES_tradnl"/>
        </w:rPr>
        <w:t xml:space="preserve">, Maurice : </w:t>
      </w:r>
      <w:r w:rsidRPr="006F46BB">
        <w:rPr>
          <w:rFonts w:ascii="Times New Roman" w:hAnsi="Times New Roman"/>
          <w:i/>
          <w:sz w:val="20"/>
          <w:lang w:val="es-ES_tradnl"/>
        </w:rPr>
        <w:t>La comunidad inconfesable</w:t>
      </w:r>
      <w:r w:rsidRPr="006F46BB">
        <w:rPr>
          <w:rFonts w:ascii="Times New Roman" w:hAnsi="Times New Roman"/>
          <w:sz w:val="20"/>
          <w:lang w:val="es-ES_tradnl"/>
        </w:rPr>
        <w:t>, Madrid, Arena Libros, 2002, p. 46.</w:t>
      </w:r>
    </w:p>
  </w:footnote>
  <w:footnote w:id="4">
    <w:p w:rsidR="00FE7A96" w:rsidRPr="006F46BB" w:rsidRDefault="00FE7A96" w:rsidP="00C64732">
      <w:pPr>
        <w:pStyle w:val="FootnoteText"/>
        <w:jc w:val="both"/>
        <w:rPr>
          <w:rFonts w:ascii="Times New Roman" w:hAnsi="Times New Roman"/>
          <w:sz w:val="20"/>
          <w:lang w:val="es-ES_tradnl"/>
        </w:rPr>
      </w:pPr>
      <w:r w:rsidRPr="006F46BB">
        <w:rPr>
          <w:rStyle w:val="FootnoteReference"/>
          <w:rFonts w:ascii="Times New Roman" w:hAnsi="Times New Roman"/>
          <w:sz w:val="20"/>
          <w:lang w:val="es-ES_tradnl"/>
        </w:rPr>
        <w:footnoteRef/>
      </w:r>
      <w:r w:rsidRPr="006F46BB">
        <w:rPr>
          <w:rFonts w:ascii="Times New Roman" w:hAnsi="Times New Roman"/>
          <w:sz w:val="20"/>
          <w:lang w:val="es-ES_tradnl"/>
        </w:rPr>
        <w:t xml:space="preserve"> </w:t>
      </w:r>
      <w:r w:rsidRPr="006F46BB">
        <w:rPr>
          <w:rFonts w:ascii="Times New Roman" w:hAnsi="Times New Roman"/>
          <w:sz w:val="20"/>
          <w:lang w:val="es-ES_tradnl"/>
        </w:rPr>
        <w:t xml:space="preserve">Bataille, George, citado por Nancy en : « La comunidad </w:t>
      </w:r>
      <w:proofErr w:type="spellStart"/>
      <w:r w:rsidRPr="006F46BB">
        <w:rPr>
          <w:rFonts w:ascii="Times New Roman" w:hAnsi="Times New Roman"/>
          <w:sz w:val="20"/>
          <w:lang w:val="es-ES_tradnl"/>
        </w:rPr>
        <w:t>desobrada</w:t>
      </w:r>
      <w:proofErr w:type="spellEnd"/>
      <w:r w:rsidRPr="006F46BB">
        <w:rPr>
          <w:rFonts w:ascii="Times New Roman" w:hAnsi="Times New Roman"/>
          <w:sz w:val="20"/>
          <w:lang w:val="es-ES_tradnl"/>
        </w:rPr>
        <w:t xml:space="preserve"> », </w:t>
      </w:r>
      <w:proofErr w:type="spellStart"/>
      <w:r w:rsidRPr="006F46BB">
        <w:rPr>
          <w:rFonts w:ascii="Times New Roman" w:hAnsi="Times New Roman"/>
          <w:sz w:val="20"/>
          <w:lang w:val="es-ES_tradnl"/>
        </w:rPr>
        <w:t>op</w:t>
      </w:r>
      <w:proofErr w:type="spellEnd"/>
      <w:r w:rsidRPr="006F46BB">
        <w:rPr>
          <w:rFonts w:ascii="Times New Roman" w:hAnsi="Times New Roman"/>
          <w:sz w:val="20"/>
          <w:lang w:val="es-ES_tradnl"/>
        </w:rPr>
        <w:t>. cit. p. 78.</w:t>
      </w:r>
    </w:p>
  </w:footnote>
  <w:footnote w:id="5">
    <w:p w:rsidR="00FE7A96" w:rsidRPr="006F46BB" w:rsidRDefault="00FE7A96" w:rsidP="00C64732">
      <w:pPr>
        <w:pStyle w:val="FootnoteText"/>
        <w:jc w:val="both"/>
        <w:rPr>
          <w:rFonts w:ascii="Times New Roman" w:hAnsi="Times New Roman"/>
          <w:sz w:val="20"/>
          <w:lang w:val="es-ES_tradnl"/>
        </w:rPr>
      </w:pPr>
      <w:r w:rsidRPr="006F46BB">
        <w:rPr>
          <w:rStyle w:val="FootnoteReference"/>
          <w:rFonts w:ascii="Times New Roman" w:hAnsi="Times New Roman"/>
          <w:sz w:val="20"/>
          <w:lang w:val="es-ES_tradnl"/>
        </w:rPr>
        <w:footnoteRef/>
      </w:r>
      <w:r w:rsidRPr="006F46BB">
        <w:rPr>
          <w:rFonts w:ascii="Times New Roman" w:hAnsi="Times New Roman"/>
          <w:sz w:val="20"/>
          <w:lang w:val="es-ES_tradnl"/>
        </w:rPr>
        <w:t xml:space="preserve"> </w:t>
      </w:r>
      <w:r w:rsidRPr="006F46BB">
        <w:rPr>
          <w:rFonts w:ascii="Times New Roman" w:hAnsi="Times New Roman"/>
          <w:sz w:val="20"/>
          <w:lang w:val="es-ES_tradnl"/>
        </w:rPr>
        <w:t xml:space="preserve">Nancy, J. L. : </w:t>
      </w:r>
      <w:r w:rsidRPr="006F46BB">
        <w:rPr>
          <w:rFonts w:ascii="Times New Roman" w:hAnsi="Times New Roman"/>
          <w:i/>
          <w:sz w:val="20"/>
          <w:lang w:val="es-ES_tradnl"/>
        </w:rPr>
        <w:t>La comunidad revocada</w:t>
      </w:r>
      <w:r w:rsidRPr="006F46BB">
        <w:rPr>
          <w:rFonts w:ascii="Times New Roman" w:hAnsi="Times New Roman"/>
          <w:sz w:val="20"/>
          <w:lang w:val="es-ES_tradnl"/>
        </w:rPr>
        <w:t xml:space="preserve">, Buenos Aires, Mar Dulce, 2016, p. 21 / 22. </w:t>
      </w:r>
    </w:p>
  </w:footnote>
  <w:footnote w:id="6">
    <w:p w:rsidR="00FE7A96" w:rsidRPr="006F46BB" w:rsidRDefault="00FE7A96" w:rsidP="00C64732">
      <w:pPr>
        <w:pStyle w:val="FootnoteText"/>
        <w:jc w:val="both"/>
        <w:rPr>
          <w:rFonts w:ascii="Times New Roman" w:hAnsi="Times New Roman"/>
          <w:sz w:val="20"/>
          <w:lang w:val="es-ES_tradnl"/>
        </w:rPr>
      </w:pPr>
      <w:r w:rsidRPr="006F46BB">
        <w:rPr>
          <w:rStyle w:val="FootnoteReference"/>
          <w:rFonts w:ascii="Times New Roman" w:hAnsi="Times New Roman"/>
          <w:sz w:val="20"/>
          <w:lang w:val="es-ES_tradnl"/>
        </w:rPr>
        <w:footnoteRef/>
      </w:r>
      <w:r w:rsidRPr="006F46BB">
        <w:rPr>
          <w:rFonts w:ascii="Times New Roman" w:hAnsi="Times New Roman"/>
          <w:sz w:val="20"/>
          <w:lang w:val="es-ES_tradnl"/>
        </w:rPr>
        <w:t xml:space="preserve"> </w:t>
      </w:r>
      <w:r w:rsidRPr="006F46BB">
        <w:rPr>
          <w:rFonts w:ascii="Times New Roman" w:hAnsi="Times New Roman"/>
          <w:sz w:val="20"/>
          <w:lang w:val="es-ES_tradnl"/>
        </w:rPr>
        <w:t>Ibíd., p. 22, nota 8.</w:t>
      </w:r>
    </w:p>
  </w:footnote>
  <w:footnote w:id="7">
    <w:p w:rsidR="00FE7A96" w:rsidRPr="00525BBA" w:rsidRDefault="00FE7A96" w:rsidP="00C64732">
      <w:pPr>
        <w:pStyle w:val="FootnoteText"/>
        <w:rPr>
          <w:sz w:val="20"/>
        </w:rPr>
      </w:pPr>
      <w:r w:rsidRPr="00525BBA">
        <w:rPr>
          <w:rStyle w:val="FootnoteReference"/>
          <w:sz w:val="20"/>
        </w:rPr>
        <w:footnoteRef/>
      </w:r>
      <w:r w:rsidRPr="00525BBA">
        <w:rPr>
          <w:sz w:val="20"/>
        </w:rPr>
        <w:t xml:space="preserve"> </w:t>
      </w:r>
      <w:proofErr w:type="spellStart"/>
      <w:r w:rsidRPr="00525BBA">
        <w:rPr>
          <w:sz w:val="20"/>
        </w:rPr>
        <w:t>Cfr</w:t>
      </w:r>
      <w:proofErr w:type="spellEnd"/>
      <w:r w:rsidRPr="00525BBA">
        <w:rPr>
          <w:sz w:val="20"/>
        </w:rPr>
        <w:t xml:space="preserve">. </w:t>
      </w:r>
      <w:r w:rsidRPr="00525BBA">
        <w:rPr>
          <w:rFonts w:ascii="Times New Roman" w:hAnsi="Times New Roman"/>
          <w:sz w:val="20"/>
        </w:rPr>
        <w:t xml:space="preserve">Barthes, Roland : </w:t>
      </w:r>
      <w:r w:rsidRPr="00525BBA">
        <w:rPr>
          <w:rFonts w:ascii="Times New Roman" w:hAnsi="Times New Roman"/>
          <w:i/>
          <w:sz w:val="20"/>
        </w:rPr>
        <w:t xml:space="preserve">El </w:t>
      </w:r>
      <w:proofErr w:type="spellStart"/>
      <w:r w:rsidRPr="00525BBA">
        <w:rPr>
          <w:rFonts w:ascii="Times New Roman" w:hAnsi="Times New Roman"/>
          <w:i/>
          <w:sz w:val="20"/>
        </w:rPr>
        <w:t>grado</w:t>
      </w:r>
      <w:proofErr w:type="spellEnd"/>
      <w:r w:rsidRPr="00525BBA">
        <w:rPr>
          <w:rFonts w:ascii="Times New Roman" w:hAnsi="Times New Roman"/>
          <w:i/>
          <w:sz w:val="20"/>
        </w:rPr>
        <w:t xml:space="preserve"> </w:t>
      </w:r>
      <w:proofErr w:type="spellStart"/>
      <w:r w:rsidRPr="00525BBA">
        <w:rPr>
          <w:rFonts w:ascii="Times New Roman" w:hAnsi="Times New Roman"/>
          <w:i/>
          <w:sz w:val="20"/>
        </w:rPr>
        <w:t>cero</w:t>
      </w:r>
      <w:proofErr w:type="spellEnd"/>
      <w:r w:rsidRPr="00525BBA">
        <w:rPr>
          <w:rFonts w:ascii="Times New Roman" w:hAnsi="Times New Roman"/>
          <w:i/>
          <w:sz w:val="20"/>
        </w:rPr>
        <w:t xml:space="preserve"> de la </w:t>
      </w:r>
      <w:proofErr w:type="spellStart"/>
      <w:r w:rsidRPr="00525BBA">
        <w:rPr>
          <w:rFonts w:ascii="Times New Roman" w:hAnsi="Times New Roman"/>
          <w:i/>
          <w:sz w:val="20"/>
        </w:rPr>
        <w:t>escritura</w:t>
      </w:r>
      <w:proofErr w:type="spellEnd"/>
      <w:r w:rsidRPr="00525BBA">
        <w:rPr>
          <w:rFonts w:ascii="Times New Roman" w:hAnsi="Times New Roman"/>
          <w:sz w:val="20"/>
        </w:rPr>
        <w:t xml:space="preserve">, Buenos Aires, </w:t>
      </w:r>
      <w:proofErr w:type="spellStart"/>
      <w:r w:rsidRPr="00525BBA">
        <w:rPr>
          <w:rFonts w:ascii="Times New Roman" w:hAnsi="Times New Roman"/>
          <w:sz w:val="20"/>
        </w:rPr>
        <w:t>Siglo</w:t>
      </w:r>
      <w:proofErr w:type="spellEnd"/>
      <w:r w:rsidRPr="00525BBA">
        <w:rPr>
          <w:rFonts w:ascii="Times New Roman" w:hAnsi="Times New Roman"/>
          <w:sz w:val="20"/>
        </w:rPr>
        <w:t xml:space="preserve">  XXI</w:t>
      </w:r>
      <w:r>
        <w:rPr>
          <w:rFonts w:ascii="Times New Roman" w:hAnsi="Times New Roman"/>
          <w:sz w:val="20"/>
        </w:rPr>
        <w:t>.</w:t>
      </w:r>
    </w:p>
  </w:footnote>
  <w:footnote w:id="8">
    <w:p w:rsidR="00FE7A96" w:rsidRPr="006F46BB" w:rsidRDefault="00FE7A96" w:rsidP="00C64732">
      <w:pPr>
        <w:pStyle w:val="FootnoteText"/>
        <w:jc w:val="both"/>
        <w:rPr>
          <w:rFonts w:ascii="Times New Roman" w:hAnsi="Times New Roman"/>
          <w:sz w:val="20"/>
          <w:lang w:val="es-ES_tradnl"/>
        </w:rPr>
      </w:pPr>
      <w:r w:rsidRPr="006F46BB">
        <w:rPr>
          <w:rStyle w:val="FootnoteReference"/>
          <w:rFonts w:ascii="Times New Roman" w:hAnsi="Times New Roman"/>
          <w:sz w:val="20"/>
          <w:lang w:val="es-ES_tradnl"/>
        </w:rPr>
        <w:footnoteRef/>
      </w:r>
      <w:r w:rsidRPr="006F46BB">
        <w:rPr>
          <w:rFonts w:ascii="Times New Roman" w:hAnsi="Times New Roman"/>
          <w:sz w:val="20"/>
          <w:lang w:val="es-ES_tradnl"/>
        </w:rPr>
        <w:t xml:space="preserve"> </w:t>
      </w:r>
      <w:r w:rsidRPr="006F46BB">
        <w:rPr>
          <w:rFonts w:ascii="Times New Roman" w:hAnsi="Times New Roman"/>
          <w:sz w:val="20"/>
          <w:lang w:val="es-ES_tradnl"/>
        </w:rPr>
        <w:t>Ibíd.</w:t>
      </w:r>
    </w:p>
  </w:footnote>
  <w:footnote w:id="9">
    <w:p w:rsidR="00FE7A96" w:rsidRPr="006F46BB" w:rsidRDefault="00FE7A96" w:rsidP="00C64732">
      <w:pPr>
        <w:pStyle w:val="FootnoteText"/>
        <w:jc w:val="both"/>
        <w:rPr>
          <w:rFonts w:ascii="Times New Roman" w:hAnsi="Times New Roman"/>
          <w:sz w:val="20"/>
          <w:lang w:val="es-ES_tradnl"/>
        </w:rPr>
      </w:pPr>
      <w:r w:rsidRPr="006F46BB">
        <w:rPr>
          <w:rStyle w:val="FootnoteReference"/>
          <w:rFonts w:ascii="Times New Roman" w:hAnsi="Times New Roman"/>
          <w:sz w:val="20"/>
          <w:lang w:val="es-ES_tradnl"/>
        </w:rPr>
        <w:footnoteRef/>
      </w:r>
      <w:r w:rsidRPr="006F46BB">
        <w:rPr>
          <w:rFonts w:ascii="Times New Roman" w:hAnsi="Times New Roman"/>
          <w:sz w:val="20"/>
          <w:lang w:val="es-ES_tradnl"/>
        </w:rPr>
        <w:t xml:space="preserve"> </w:t>
      </w:r>
      <w:r w:rsidRPr="006F46BB">
        <w:rPr>
          <w:rFonts w:ascii="Times New Roman" w:hAnsi="Times New Roman"/>
          <w:sz w:val="20"/>
          <w:lang w:val="es-ES_tradnl"/>
        </w:rPr>
        <w:t xml:space="preserve">Aunque aquí, como podrá deducirse fácilmente, escritura y tema se tocan en la medida en que el tema de la escritura </w:t>
      </w:r>
      <w:r w:rsidRPr="006F46BB">
        <w:rPr>
          <w:rFonts w:ascii="Times New Roman" w:hAnsi="Times New Roman"/>
          <w:i/>
          <w:sz w:val="20"/>
          <w:lang w:val="es-ES_tradnl"/>
        </w:rPr>
        <w:t>es</w:t>
      </w:r>
      <w:r w:rsidRPr="006F46BB">
        <w:rPr>
          <w:rFonts w:ascii="Times New Roman" w:hAnsi="Times New Roman"/>
          <w:sz w:val="20"/>
          <w:lang w:val="es-ES_tradnl"/>
        </w:rPr>
        <w:t xml:space="preserve"> la escritura. </w:t>
      </w:r>
    </w:p>
  </w:footnote>
  <w:footnote w:id="10">
    <w:p w:rsidR="00FE7A96" w:rsidRPr="006F46BB" w:rsidRDefault="00FE7A96" w:rsidP="00C64732">
      <w:pPr>
        <w:pStyle w:val="FootnoteText"/>
        <w:jc w:val="both"/>
        <w:rPr>
          <w:rFonts w:ascii="Times New Roman" w:hAnsi="Times New Roman"/>
          <w:sz w:val="20"/>
          <w:lang w:val="es-ES_tradnl"/>
        </w:rPr>
      </w:pPr>
      <w:r w:rsidRPr="006F46BB">
        <w:rPr>
          <w:rStyle w:val="FootnoteReference"/>
          <w:rFonts w:ascii="Times New Roman" w:hAnsi="Times New Roman"/>
          <w:sz w:val="20"/>
          <w:lang w:val="es-ES_tradnl"/>
        </w:rPr>
        <w:footnoteRef/>
      </w:r>
      <w:r w:rsidRPr="006F46BB">
        <w:rPr>
          <w:rFonts w:ascii="Times New Roman" w:hAnsi="Times New Roman"/>
          <w:sz w:val="20"/>
          <w:lang w:val="es-ES_tradnl"/>
        </w:rPr>
        <w:t xml:space="preserve"> </w:t>
      </w:r>
      <w:r w:rsidRPr="006F46BB">
        <w:rPr>
          <w:rFonts w:ascii="Times New Roman" w:hAnsi="Times New Roman"/>
          <w:sz w:val="20"/>
          <w:lang w:val="es-ES_tradnl"/>
        </w:rPr>
        <w:t>Ibíd.</w:t>
      </w:r>
    </w:p>
  </w:footnote>
  <w:footnote w:id="11">
    <w:p w:rsidR="00FE7A96" w:rsidRPr="00915BD5" w:rsidRDefault="00FE7A96" w:rsidP="00C64732">
      <w:pPr>
        <w:pStyle w:val="FootnoteText"/>
        <w:jc w:val="both"/>
        <w:rPr>
          <w:rFonts w:ascii="Times New Roman" w:hAnsi="Times New Roman"/>
          <w:sz w:val="20"/>
          <w:lang w:val="es-ES_tradnl"/>
        </w:rPr>
      </w:pPr>
      <w:r w:rsidRPr="00915BD5">
        <w:rPr>
          <w:rStyle w:val="FootnoteReference"/>
          <w:rFonts w:ascii="Times New Roman" w:hAnsi="Times New Roman"/>
          <w:sz w:val="20"/>
          <w:lang w:val="es-ES_tradnl"/>
        </w:rPr>
        <w:footnoteRef/>
      </w:r>
      <w:r w:rsidRPr="00915BD5">
        <w:rPr>
          <w:rFonts w:ascii="Times New Roman" w:hAnsi="Times New Roman"/>
          <w:sz w:val="20"/>
          <w:lang w:val="es-ES_tradnl"/>
        </w:rPr>
        <w:t xml:space="preserve"> </w:t>
      </w:r>
      <w:r w:rsidRPr="00915BD5">
        <w:rPr>
          <w:rFonts w:ascii="Times New Roman" w:hAnsi="Times New Roman"/>
          <w:sz w:val="20"/>
          <w:lang w:val="es-ES_tradnl"/>
        </w:rPr>
        <w:t>Este punto es, preci</w:t>
      </w:r>
      <w:r>
        <w:rPr>
          <w:rFonts w:ascii="Times New Roman" w:hAnsi="Times New Roman"/>
          <w:sz w:val="20"/>
          <w:lang w:val="es-ES_tradnl"/>
        </w:rPr>
        <w:t>samente, el punto a partir del cual se separa el concepto de</w:t>
      </w:r>
      <w:r w:rsidRPr="00915BD5">
        <w:rPr>
          <w:rFonts w:ascii="Times New Roman" w:hAnsi="Times New Roman"/>
          <w:sz w:val="20"/>
          <w:lang w:val="es-ES_tradnl"/>
        </w:rPr>
        <w:t xml:space="preserve"> lazo </w:t>
      </w:r>
      <w:r>
        <w:rPr>
          <w:rFonts w:ascii="Times New Roman" w:hAnsi="Times New Roman"/>
          <w:sz w:val="20"/>
          <w:lang w:val="es-ES_tradnl"/>
        </w:rPr>
        <w:t xml:space="preserve">en el diálogo </w:t>
      </w:r>
      <w:proofErr w:type="spellStart"/>
      <w:r>
        <w:rPr>
          <w:rFonts w:ascii="Times New Roman" w:hAnsi="Times New Roman"/>
          <w:sz w:val="20"/>
          <w:lang w:val="es-ES_tradnl"/>
        </w:rPr>
        <w:t>Blanchot</w:t>
      </w:r>
      <w:proofErr w:type="spellEnd"/>
      <w:r>
        <w:rPr>
          <w:rFonts w:ascii="Times New Roman" w:hAnsi="Times New Roman"/>
          <w:sz w:val="20"/>
          <w:lang w:val="es-ES_tradnl"/>
        </w:rPr>
        <w:t xml:space="preserve"> – Nancy (es decir, a la comunidad de la escritura) del </w:t>
      </w:r>
      <w:r w:rsidRPr="00915BD5">
        <w:rPr>
          <w:rFonts w:ascii="Times New Roman" w:hAnsi="Times New Roman"/>
          <w:sz w:val="20"/>
          <w:lang w:val="es-ES_tradnl"/>
        </w:rPr>
        <w:t xml:space="preserve">que inaugura el concepto de </w:t>
      </w:r>
      <w:proofErr w:type="spellStart"/>
      <w:r w:rsidRPr="00915BD5">
        <w:rPr>
          <w:rFonts w:ascii="Times New Roman" w:hAnsi="Times New Roman"/>
          <w:i/>
          <w:sz w:val="20"/>
          <w:lang w:val="es-ES_tradnl"/>
        </w:rPr>
        <w:t>koinonía</w:t>
      </w:r>
      <w:proofErr w:type="spellEnd"/>
      <w:r w:rsidRPr="00915BD5">
        <w:rPr>
          <w:rFonts w:ascii="Times New Roman" w:hAnsi="Times New Roman"/>
          <w:sz w:val="20"/>
          <w:lang w:val="es-ES_tradnl"/>
        </w:rPr>
        <w:t xml:space="preserve"> en el pensamiento occidental. </w:t>
      </w:r>
    </w:p>
  </w:footnote>
  <w:footnote w:id="12">
    <w:p w:rsidR="00FE7A96" w:rsidRPr="006F46BB" w:rsidRDefault="00FE7A96" w:rsidP="00C64732">
      <w:pPr>
        <w:pStyle w:val="FootnoteText"/>
        <w:jc w:val="both"/>
        <w:rPr>
          <w:rFonts w:ascii="Times New Roman" w:hAnsi="Times New Roman"/>
          <w:sz w:val="20"/>
          <w:lang w:val="es-ES_tradnl"/>
        </w:rPr>
      </w:pPr>
      <w:r w:rsidRPr="006F46BB">
        <w:rPr>
          <w:rStyle w:val="FootnoteReference"/>
          <w:rFonts w:ascii="Times New Roman" w:hAnsi="Times New Roman"/>
          <w:sz w:val="20"/>
          <w:lang w:val="es-ES_tradnl"/>
        </w:rPr>
        <w:footnoteRef/>
      </w:r>
      <w:r w:rsidRPr="006F46BB">
        <w:rPr>
          <w:rFonts w:ascii="Times New Roman" w:hAnsi="Times New Roman"/>
          <w:sz w:val="20"/>
          <w:lang w:val="es-ES_tradnl"/>
        </w:rPr>
        <w:t xml:space="preserve"> </w:t>
      </w:r>
      <w:proofErr w:type="spellStart"/>
      <w:r w:rsidRPr="006F46BB">
        <w:rPr>
          <w:rFonts w:ascii="Times New Roman" w:hAnsi="Times New Roman"/>
          <w:sz w:val="20"/>
          <w:lang w:val="es-ES_tradnl"/>
        </w:rPr>
        <w:t>Blanchot</w:t>
      </w:r>
      <w:proofErr w:type="spellEnd"/>
      <w:r w:rsidRPr="006F46BB">
        <w:rPr>
          <w:rFonts w:ascii="Times New Roman" w:hAnsi="Times New Roman"/>
          <w:sz w:val="20"/>
          <w:lang w:val="es-ES_tradnl"/>
        </w:rPr>
        <w:t xml:space="preserve">, Maurice : </w:t>
      </w:r>
      <w:r w:rsidRPr="006F46BB">
        <w:rPr>
          <w:rFonts w:ascii="Times New Roman" w:hAnsi="Times New Roman"/>
          <w:i/>
          <w:sz w:val="20"/>
          <w:lang w:val="es-ES_tradnl"/>
        </w:rPr>
        <w:t>La comunidad inconfesable</w:t>
      </w:r>
      <w:r w:rsidRPr="006F46BB">
        <w:rPr>
          <w:rFonts w:ascii="Times New Roman" w:hAnsi="Times New Roman"/>
          <w:sz w:val="20"/>
          <w:lang w:val="es-ES_tradnl"/>
        </w:rPr>
        <w:t xml:space="preserve">, Madrid, Arena Libros, 2002, p. 94. </w:t>
      </w:r>
    </w:p>
  </w:footnote>
  <w:footnote w:id="13">
    <w:p w:rsidR="00FE7A96" w:rsidRPr="006F46BB" w:rsidRDefault="00FE7A96" w:rsidP="00C64732">
      <w:pPr>
        <w:pStyle w:val="FootnoteText"/>
        <w:jc w:val="both"/>
        <w:rPr>
          <w:rFonts w:ascii="Times New Roman" w:hAnsi="Times New Roman"/>
          <w:sz w:val="20"/>
          <w:lang w:val="es-ES_tradnl"/>
        </w:rPr>
      </w:pPr>
      <w:r w:rsidRPr="006F46BB">
        <w:rPr>
          <w:rStyle w:val="FootnoteReference"/>
          <w:rFonts w:ascii="Times New Roman" w:hAnsi="Times New Roman"/>
          <w:sz w:val="20"/>
          <w:lang w:val="es-ES_tradnl"/>
        </w:rPr>
        <w:footnoteRef/>
      </w:r>
      <w:r w:rsidRPr="006F46BB">
        <w:rPr>
          <w:rFonts w:ascii="Times New Roman" w:hAnsi="Times New Roman"/>
          <w:sz w:val="20"/>
          <w:lang w:val="es-ES_tradnl"/>
        </w:rPr>
        <w:t xml:space="preserve"> </w:t>
      </w:r>
      <w:r w:rsidRPr="006F46BB">
        <w:rPr>
          <w:rFonts w:ascii="Times New Roman" w:hAnsi="Times New Roman"/>
          <w:sz w:val="20"/>
          <w:lang w:val="es-ES_tradnl"/>
        </w:rPr>
        <w:t xml:space="preserve">Aunque aquí la diferencia entre la idea de transmisión y la idea de comunicación desborda ampliamente la diferencia entre el orden de lo semántico (que vendría a abrir el campo de la comunicación) y el orden de lo no semántico (que vendría a inaugurar el campo de la transmisión), vale la pena recordar, por lo menos para acercarse al movimiento, al gesto que transmite, precisamente, la escritura, </w:t>
      </w:r>
      <w:r w:rsidRPr="006F46BB">
        <w:rPr>
          <w:rFonts w:ascii="Times New Roman" w:hAnsi="Times New Roman"/>
          <w:i/>
          <w:sz w:val="20"/>
          <w:lang w:val="es-ES_tradnl"/>
        </w:rPr>
        <w:t>cada</w:t>
      </w:r>
      <w:r w:rsidRPr="006F46BB">
        <w:rPr>
          <w:rFonts w:ascii="Times New Roman" w:hAnsi="Times New Roman"/>
          <w:sz w:val="20"/>
          <w:lang w:val="es-ES_tradnl"/>
        </w:rPr>
        <w:t xml:space="preserve"> escritura, la observación que, a propósito de ello, realiza de Derrida en su conferencia de 1971 en las Sociedades de Filosofía de lengua francesa en Montreal : « Ahora bien, la palabra comunicación, que nada nos autoriza a despreciar como palabra inicialmente y a empobrecer en tanto que palabra </w:t>
      </w:r>
      <w:proofErr w:type="spellStart"/>
      <w:r w:rsidRPr="006F46BB">
        <w:rPr>
          <w:rFonts w:ascii="Times New Roman" w:hAnsi="Times New Roman"/>
          <w:sz w:val="20"/>
          <w:lang w:val="es-ES_tradnl"/>
        </w:rPr>
        <w:t>polisémica</w:t>
      </w:r>
      <w:proofErr w:type="spellEnd"/>
      <w:r w:rsidRPr="006F46BB">
        <w:rPr>
          <w:rFonts w:ascii="Times New Roman" w:hAnsi="Times New Roman"/>
          <w:sz w:val="20"/>
          <w:lang w:val="es-ES_tradnl"/>
        </w:rPr>
        <w:t xml:space="preserve">, abre un campo semántico que precisamente no se limita ni a la semántica, a la semiótica, todavía menos a la lingüística. Pertenece también al campo semántico de comunicación el hecho de que designa movimiento no semánticos. Aquí un recurso al menos provisional al lenguaje ordinario y a los equívocos de la lengua natural nos enseña, por ejemplo, que se puede comunicar un movimiento o que una sacudida, un choque, un desplazamiento de fuerza puede ser comunicado: entendámonos, propagado, transmitido. (…). Lo que ocurre entonces, lo que se transmite, comunicado, no son fenómenos de sentido o de significación. En estos casos no tienen nada que ver ni con un contenido semántico o conceptual, ni con una operación semiótica, y menos todavía con un intercambio lingüístico”. </w:t>
      </w:r>
      <w:proofErr w:type="spellStart"/>
      <w:r w:rsidRPr="006F46BB">
        <w:rPr>
          <w:rFonts w:ascii="Times New Roman" w:hAnsi="Times New Roman"/>
          <w:sz w:val="20"/>
          <w:lang w:val="es-ES_tradnl"/>
        </w:rPr>
        <w:t>Cfr</w:t>
      </w:r>
      <w:proofErr w:type="spellEnd"/>
      <w:r w:rsidRPr="006F46BB">
        <w:rPr>
          <w:rFonts w:ascii="Times New Roman" w:hAnsi="Times New Roman"/>
          <w:sz w:val="20"/>
          <w:lang w:val="es-ES_tradnl"/>
        </w:rPr>
        <w:t xml:space="preserve">. Derrida, Jacques: “Firma, acontecimiento, contexto”, en J. Derrida, Márgenes de la filosofía, Madrid, Cátedra, 2010, p. 349. </w:t>
      </w:r>
    </w:p>
  </w:footnote>
  <w:footnote w:id="14">
    <w:p w:rsidR="00FE7A96" w:rsidRPr="006F46BB" w:rsidRDefault="00FE7A96" w:rsidP="00C64732">
      <w:pPr>
        <w:pStyle w:val="FootnoteText"/>
        <w:jc w:val="both"/>
        <w:rPr>
          <w:rFonts w:ascii="Times New Roman" w:hAnsi="Times New Roman"/>
          <w:sz w:val="20"/>
          <w:lang w:val="es-ES_tradnl"/>
        </w:rPr>
      </w:pPr>
      <w:r w:rsidRPr="006F46BB">
        <w:rPr>
          <w:rStyle w:val="FootnoteReference"/>
          <w:rFonts w:ascii="Times New Roman" w:hAnsi="Times New Roman"/>
          <w:sz w:val="20"/>
          <w:lang w:val="es-ES_tradnl"/>
        </w:rPr>
        <w:footnoteRef/>
      </w:r>
      <w:r w:rsidRPr="006F46BB">
        <w:rPr>
          <w:rFonts w:ascii="Times New Roman" w:hAnsi="Times New Roman"/>
          <w:sz w:val="20"/>
          <w:lang w:val="es-ES_tradnl"/>
        </w:rPr>
        <w:t xml:space="preserve"> </w:t>
      </w:r>
      <w:r w:rsidRPr="006F46BB">
        <w:rPr>
          <w:rFonts w:ascii="Times New Roman" w:hAnsi="Times New Roman"/>
          <w:sz w:val="20"/>
          <w:lang w:val="es-ES_tradnl"/>
        </w:rPr>
        <w:t xml:space="preserve">Con el concepto de escritura como el movimiento siempre elusivo del sentido o de la presencia, es decir, como archi-escritura, aludimos, desde luego, a los textos de Derrida, principalmente a su texto fundamental sobre el tema: a De la </w:t>
      </w:r>
      <w:proofErr w:type="spellStart"/>
      <w:r w:rsidRPr="006F46BB">
        <w:rPr>
          <w:rFonts w:ascii="Times New Roman" w:hAnsi="Times New Roman"/>
          <w:sz w:val="20"/>
          <w:lang w:val="es-ES_tradnl"/>
        </w:rPr>
        <w:t>gramatología</w:t>
      </w:r>
      <w:proofErr w:type="spellEnd"/>
      <w:r w:rsidRPr="006F46BB">
        <w:rPr>
          <w:rFonts w:ascii="Times New Roman" w:hAnsi="Times New Roman"/>
          <w:sz w:val="20"/>
          <w:lang w:val="es-ES_tradnl"/>
        </w:rPr>
        <w:t xml:space="preserve"> (</w:t>
      </w:r>
      <w:proofErr w:type="spellStart"/>
      <w:r w:rsidRPr="006F46BB">
        <w:rPr>
          <w:rFonts w:ascii="Times New Roman" w:hAnsi="Times New Roman"/>
          <w:sz w:val="20"/>
          <w:lang w:val="es-ES_tradnl"/>
        </w:rPr>
        <w:t>Cfr</w:t>
      </w:r>
      <w:proofErr w:type="spellEnd"/>
      <w:r w:rsidRPr="006F46BB">
        <w:rPr>
          <w:rFonts w:ascii="Times New Roman" w:hAnsi="Times New Roman"/>
          <w:sz w:val="20"/>
          <w:lang w:val="es-ES_tradnl"/>
        </w:rPr>
        <w:t xml:space="preserve">. Derrida, Jacques : </w:t>
      </w:r>
      <w:r w:rsidRPr="006F46BB">
        <w:rPr>
          <w:rFonts w:ascii="Times New Roman" w:hAnsi="Times New Roman"/>
          <w:i/>
          <w:sz w:val="20"/>
          <w:lang w:val="es-ES_tradnl"/>
        </w:rPr>
        <w:t xml:space="preserve">De la </w:t>
      </w:r>
      <w:proofErr w:type="spellStart"/>
      <w:r w:rsidRPr="006F46BB">
        <w:rPr>
          <w:rFonts w:ascii="Times New Roman" w:hAnsi="Times New Roman"/>
          <w:i/>
          <w:sz w:val="20"/>
          <w:lang w:val="es-ES_tradnl"/>
        </w:rPr>
        <w:t>gramatología</w:t>
      </w:r>
      <w:proofErr w:type="spellEnd"/>
      <w:r w:rsidRPr="006F46BB">
        <w:rPr>
          <w:rFonts w:ascii="Times New Roman" w:hAnsi="Times New Roman"/>
          <w:i/>
          <w:sz w:val="20"/>
          <w:lang w:val="es-ES_tradnl"/>
        </w:rPr>
        <w:t>,</w:t>
      </w:r>
      <w:r w:rsidRPr="006F46BB">
        <w:rPr>
          <w:rFonts w:ascii="Times New Roman" w:hAnsi="Times New Roman"/>
          <w:sz w:val="20"/>
          <w:lang w:val="es-ES_tradnl"/>
        </w:rPr>
        <w:t xml:space="preserve"> México D.F., Siglo XXI, 1998). Si bien no contamos aquí con el suficiente espacio para desarrollar la cuestión, que por otro lado es una de las aristas fundamentales de otro trabajo, mi tesis de doctorado, nos contentamos, por lo menos, con dejarla expuesta : si bien la oposición entre el concepto de escritura, en el sentido corriente del término, como el ejercicio de la mano que escribe, con el concepto de escritura como archi escritura está, aquí, delimitada sin demasiadas precisiones, esa oposición, en la medida en que se proponga escapar a los principios metafísicos a los que ambas categorías deberían intentar derribar, exige, por lo tanto, ser matizada : puesto que la escritura como archi escritura, como el movimiento de la presencia tiene, en la escritura en su sentido corriente, como el ejercicio de la mano que escribe, su punto en común : toda escritura (en el sentido corriente) deja una huella: la huella única (escritura) de la huella (como archi-escritura). </w:t>
      </w:r>
    </w:p>
  </w:footnote>
  <w:footnote w:id="15">
    <w:p w:rsidR="00FE7A96" w:rsidRPr="006F46BB" w:rsidRDefault="00FE7A96" w:rsidP="00C64732">
      <w:pPr>
        <w:pStyle w:val="FootnoteText"/>
        <w:jc w:val="both"/>
        <w:rPr>
          <w:rFonts w:ascii="Times New Roman" w:hAnsi="Times New Roman"/>
          <w:sz w:val="20"/>
          <w:lang w:val="es-ES_tradnl"/>
        </w:rPr>
      </w:pPr>
      <w:r w:rsidRPr="006F46BB">
        <w:rPr>
          <w:rStyle w:val="FootnoteReference"/>
          <w:rFonts w:ascii="Times New Roman" w:hAnsi="Times New Roman"/>
          <w:sz w:val="20"/>
          <w:lang w:val="es-ES_tradnl"/>
        </w:rPr>
        <w:footnoteRef/>
      </w:r>
      <w:r w:rsidRPr="006F46BB">
        <w:rPr>
          <w:rFonts w:ascii="Times New Roman" w:hAnsi="Times New Roman"/>
          <w:sz w:val="20"/>
          <w:lang w:val="es-ES_tradnl"/>
        </w:rPr>
        <w:t xml:space="preserve"> </w:t>
      </w:r>
      <w:proofErr w:type="spellStart"/>
      <w:r w:rsidRPr="006F46BB">
        <w:rPr>
          <w:rFonts w:ascii="Times New Roman" w:hAnsi="Times New Roman"/>
          <w:sz w:val="20"/>
          <w:lang w:val="es-ES_tradnl"/>
        </w:rPr>
        <w:t>Gelb</w:t>
      </w:r>
      <w:proofErr w:type="spellEnd"/>
      <w:r w:rsidRPr="006F46BB">
        <w:rPr>
          <w:rFonts w:ascii="Times New Roman" w:hAnsi="Times New Roman"/>
          <w:sz w:val="20"/>
          <w:lang w:val="es-ES_tradnl"/>
        </w:rPr>
        <w:t xml:space="preserve">, </w:t>
      </w:r>
      <w:proofErr w:type="spellStart"/>
      <w:r w:rsidRPr="006F46BB">
        <w:rPr>
          <w:rFonts w:ascii="Times New Roman" w:hAnsi="Times New Roman"/>
          <w:sz w:val="20"/>
          <w:lang w:val="es-ES_tradnl"/>
        </w:rPr>
        <w:t>Ignace</w:t>
      </w:r>
      <w:proofErr w:type="spellEnd"/>
      <w:r w:rsidRPr="006F46BB">
        <w:rPr>
          <w:rFonts w:ascii="Times New Roman" w:hAnsi="Times New Roman"/>
          <w:sz w:val="20"/>
          <w:lang w:val="es-ES_tradnl"/>
        </w:rPr>
        <w:t xml:space="preserve"> J. : </w:t>
      </w:r>
      <w:r w:rsidRPr="006F46BB">
        <w:rPr>
          <w:rFonts w:ascii="Times New Roman" w:hAnsi="Times New Roman"/>
          <w:i/>
          <w:sz w:val="20"/>
          <w:lang w:val="es-ES_tradnl"/>
        </w:rPr>
        <w:t>Historia de la escritura</w:t>
      </w:r>
      <w:r w:rsidRPr="006F46BB">
        <w:rPr>
          <w:rFonts w:ascii="Times New Roman" w:hAnsi="Times New Roman"/>
          <w:sz w:val="20"/>
          <w:lang w:val="es-ES_tradnl"/>
        </w:rPr>
        <w:t>, Madrid, Alianza editorial, 1976, p. 31.</w:t>
      </w:r>
    </w:p>
  </w:footnote>
  <w:footnote w:id="16">
    <w:p w:rsidR="00FE7A96" w:rsidRPr="006F46BB" w:rsidRDefault="00FE7A96" w:rsidP="00C64732">
      <w:pPr>
        <w:pStyle w:val="FootnoteText"/>
        <w:jc w:val="both"/>
        <w:rPr>
          <w:rFonts w:ascii="Times New Roman" w:hAnsi="Times New Roman"/>
          <w:sz w:val="20"/>
          <w:lang w:val="es-ES_tradnl"/>
        </w:rPr>
      </w:pPr>
      <w:r w:rsidRPr="006F46BB">
        <w:rPr>
          <w:rStyle w:val="FootnoteReference"/>
          <w:rFonts w:ascii="Times New Roman" w:hAnsi="Times New Roman"/>
          <w:sz w:val="20"/>
          <w:lang w:val="es-ES_tradnl"/>
        </w:rPr>
        <w:footnoteRef/>
      </w:r>
      <w:r w:rsidRPr="006F46BB">
        <w:rPr>
          <w:rFonts w:ascii="Times New Roman" w:hAnsi="Times New Roman"/>
          <w:sz w:val="20"/>
          <w:lang w:val="es-ES_tradnl"/>
        </w:rPr>
        <w:t xml:space="preserve"> </w:t>
      </w:r>
      <w:r w:rsidRPr="006F46BB">
        <w:rPr>
          <w:rFonts w:ascii="Times New Roman" w:hAnsi="Times New Roman"/>
          <w:sz w:val="20"/>
          <w:lang w:val="es-ES_tradnl"/>
        </w:rPr>
        <w:t>Ibíd., p. 31 / 32</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Style w:val="TableGrid"/>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8"/>
      <w:gridCol w:w="7290"/>
    </w:tblGrid>
    <w:tr w:rsidR="00FE7A96">
      <w:tc>
        <w:tcPr>
          <w:tcW w:w="1728" w:type="dxa"/>
        </w:tcPr>
        <w:p w:rsidR="00FE7A96" w:rsidRPr="00391728" w:rsidRDefault="00FE7A96">
          <w:pPr>
            <w:pStyle w:val="Header"/>
            <w:rPr>
              <w:rFonts w:ascii="Arial" w:hAnsi="Arial" w:cs="Arial"/>
            </w:rPr>
          </w:pPr>
          <w:r w:rsidRPr="00391728">
            <w:rPr>
              <w:rFonts w:ascii="Arial" w:hAnsi="Arial" w:cs="Arial"/>
              <w:noProof/>
              <w:lang w:val="en-US"/>
            </w:rPr>
            <w:drawing>
              <wp:inline distT="0" distB="0" distL="0" distR="0">
                <wp:extent cx="876300" cy="984607"/>
                <wp:effectExtent l="0" t="0" r="0" b="635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3_1-267x300.pn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879114" cy="987768"/>
                        </a:xfrm>
                        <a:prstGeom prst="rect">
                          <a:avLst/>
                        </a:prstGeom>
                      </pic:spPr>
                    </pic:pic>
                  </a:graphicData>
                </a:graphic>
              </wp:inline>
            </w:drawing>
          </w:r>
        </w:p>
      </w:tc>
      <w:tc>
        <w:tcPr>
          <w:tcW w:w="7290" w:type="dxa"/>
        </w:tcPr>
        <w:p w:rsidR="00FE7A96" w:rsidRPr="00391728" w:rsidRDefault="00FE7A96" w:rsidP="00391728">
          <w:pPr>
            <w:pStyle w:val="Header"/>
            <w:spacing w:before="240"/>
            <w:rPr>
              <w:rFonts w:ascii="Arial" w:hAnsi="Arial" w:cs="Arial"/>
              <w:b/>
              <w:noProof/>
              <w:lang w:eastAsia="es-AR"/>
            </w:rPr>
          </w:pPr>
          <w:r w:rsidRPr="00391728">
            <w:rPr>
              <w:rFonts w:ascii="Arial" w:hAnsi="Arial" w:cs="Arial"/>
              <w:b/>
              <w:noProof/>
              <w:lang w:eastAsia="es-AR"/>
            </w:rPr>
            <w:t>II Congreso Latinoamericano de Teoría Social y  Teoría Política</w:t>
          </w:r>
        </w:p>
        <w:p w:rsidR="00FE7A96" w:rsidRPr="00391728" w:rsidRDefault="00FE7A96" w:rsidP="00391728">
          <w:pPr>
            <w:pStyle w:val="Header"/>
            <w:spacing w:before="240"/>
            <w:rPr>
              <w:rFonts w:ascii="Arial" w:hAnsi="Arial" w:cs="Arial"/>
              <w:noProof/>
              <w:lang w:eastAsia="es-AR"/>
            </w:rPr>
          </w:pPr>
          <w:r>
            <w:rPr>
              <w:rFonts w:ascii="Arial" w:hAnsi="Arial" w:cs="Arial"/>
              <w:noProof/>
              <w:lang w:eastAsia="es-AR"/>
            </w:rPr>
            <w:t>“</w:t>
          </w:r>
          <w:r w:rsidRPr="00391728">
            <w:rPr>
              <w:rFonts w:ascii="Arial" w:hAnsi="Arial" w:cs="Arial"/>
              <w:noProof/>
              <w:lang w:eastAsia="es-AR"/>
            </w:rPr>
            <w:t>Horizontes y dilemas del pensamiento contemporáneo en el sur global</w:t>
          </w:r>
          <w:r>
            <w:rPr>
              <w:rFonts w:ascii="Arial" w:hAnsi="Arial" w:cs="Arial"/>
              <w:noProof/>
              <w:lang w:eastAsia="es-AR"/>
            </w:rPr>
            <w:t>”</w:t>
          </w:r>
          <w:r w:rsidRPr="00391728">
            <w:rPr>
              <w:rFonts w:ascii="Arial" w:hAnsi="Arial" w:cs="Arial"/>
              <w:noProof/>
              <w:lang w:eastAsia="es-AR"/>
            </w:rPr>
            <w:t xml:space="preserve"> Buenos Aires, 2 al 4 de Agosto de 2017</w:t>
          </w:r>
        </w:p>
      </w:tc>
    </w:tr>
  </w:tbl>
  <w:p w:rsidR="00FE7A96" w:rsidRPr="00391728" w:rsidRDefault="00FE7A96" w:rsidP="00391728">
    <w:pPr>
      <w:pStyle w:val="Header"/>
      <w:rPr>
        <w:rFonts w:ascii="Arial" w:hAnsi="Arial" w:cs="Arial"/>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AC0141F"/>
    <w:multiLevelType w:val="hybridMultilevel"/>
    <w:tmpl w:val="028CFA4A"/>
    <w:lvl w:ilvl="0" w:tplc="78EA0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391728"/>
    <w:rsid w:val="002E555B"/>
    <w:rsid w:val="00391728"/>
    <w:rsid w:val="00447768"/>
    <w:rsid w:val="00626448"/>
    <w:rsid w:val="00835E9D"/>
    <w:rsid w:val="008D5B69"/>
    <w:rsid w:val="00AB554E"/>
    <w:rsid w:val="00AD5F4D"/>
    <w:rsid w:val="00B56DC5"/>
    <w:rsid w:val="00B61E12"/>
    <w:rsid w:val="00B81469"/>
    <w:rsid w:val="00C64732"/>
    <w:rsid w:val="00D01116"/>
    <w:rsid w:val="00FE7A96"/>
  </w:rsids>
  <m:mathPr>
    <m:mathFont m:val="Abadi MT Condensed Extra Bold"/>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0" w:defSemiHidden="0" w:defUnhideWhenUsed="0" w:defQFormat="0" w:count="276">
    <w:lsdException w:name="footnote text" w:uiPriority="99"/>
    <w:lsdException w:name="footnote reference" w:uiPriority="99"/>
  </w:latentStyles>
  <w:style w:type="paragraph" w:default="1" w:styleId="Normal">
    <w:name w:val="Normal"/>
    <w:qFormat/>
    <w:rsid w:val="00AD5F4D"/>
  </w:style>
  <w:style w:type="paragraph" w:styleId="Heading3">
    <w:name w:val="heading 3"/>
    <w:basedOn w:val="Normal"/>
    <w:link w:val="Heading3Char"/>
    <w:uiPriority w:val="9"/>
    <w:qFormat/>
    <w:rsid w:val="00391728"/>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391728"/>
    <w:pPr>
      <w:tabs>
        <w:tab w:val="center" w:pos="4252"/>
        <w:tab w:val="right" w:pos="8504"/>
      </w:tabs>
      <w:spacing w:after="0" w:line="240" w:lineRule="auto"/>
    </w:pPr>
  </w:style>
  <w:style w:type="character" w:customStyle="1" w:styleId="HeaderChar">
    <w:name w:val="Header Char"/>
    <w:basedOn w:val="DefaultParagraphFont"/>
    <w:link w:val="Header"/>
    <w:uiPriority w:val="99"/>
    <w:rsid w:val="00391728"/>
  </w:style>
  <w:style w:type="paragraph" w:styleId="Footer">
    <w:name w:val="footer"/>
    <w:basedOn w:val="Normal"/>
    <w:link w:val="FooterChar"/>
    <w:uiPriority w:val="99"/>
    <w:unhideWhenUsed/>
    <w:rsid w:val="00391728"/>
    <w:pPr>
      <w:tabs>
        <w:tab w:val="center" w:pos="4252"/>
        <w:tab w:val="right" w:pos="8504"/>
      </w:tabs>
      <w:spacing w:after="0" w:line="240" w:lineRule="auto"/>
    </w:pPr>
  </w:style>
  <w:style w:type="character" w:customStyle="1" w:styleId="FooterChar">
    <w:name w:val="Footer Char"/>
    <w:basedOn w:val="DefaultParagraphFont"/>
    <w:link w:val="Footer"/>
    <w:uiPriority w:val="99"/>
    <w:rsid w:val="00391728"/>
  </w:style>
  <w:style w:type="paragraph" w:styleId="BalloonText">
    <w:name w:val="Balloon Text"/>
    <w:basedOn w:val="Normal"/>
    <w:link w:val="BalloonTextChar"/>
    <w:uiPriority w:val="99"/>
    <w:semiHidden/>
    <w:unhideWhenUsed/>
    <w:rsid w:val="00391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728"/>
    <w:rPr>
      <w:rFonts w:ascii="Tahoma" w:hAnsi="Tahoma" w:cs="Tahoma"/>
      <w:sz w:val="16"/>
      <w:szCs w:val="16"/>
    </w:rPr>
  </w:style>
  <w:style w:type="table" w:styleId="TableGrid">
    <w:name w:val="Table Grid"/>
    <w:basedOn w:val="TableNormal"/>
    <w:uiPriority w:val="59"/>
    <w:rsid w:val="00391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91728"/>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39172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FootnoteText">
    <w:name w:val="footnote text"/>
    <w:basedOn w:val="Normal"/>
    <w:link w:val="FootnoteTextChar"/>
    <w:uiPriority w:val="99"/>
    <w:unhideWhenUsed/>
    <w:rsid w:val="00C64732"/>
    <w:pPr>
      <w:spacing w:after="0" w:line="240" w:lineRule="auto"/>
    </w:pPr>
    <w:rPr>
      <w:rFonts w:ascii="Cambria" w:eastAsia="Cambria" w:hAnsi="Cambria" w:cs="Times New Roman"/>
      <w:sz w:val="24"/>
      <w:szCs w:val="24"/>
      <w:lang w:val="fr-FR"/>
    </w:rPr>
  </w:style>
  <w:style w:type="character" w:customStyle="1" w:styleId="FootnoteTextChar">
    <w:name w:val="Footnote Text Char"/>
    <w:basedOn w:val="DefaultParagraphFont"/>
    <w:link w:val="FootnoteText"/>
    <w:uiPriority w:val="99"/>
    <w:rsid w:val="00C64732"/>
    <w:rPr>
      <w:rFonts w:ascii="Cambria" w:eastAsia="Cambria" w:hAnsi="Cambria" w:cs="Times New Roman"/>
      <w:sz w:val="24"/>
      <w:szCs w:val="24"/>
      <w:lang w:val="fr-FR"/>
    </w:rPr>
  </w:style>
  <w:style w:type="character" w:styleId="FootnoteReference">
    <w:name w:val="footnote reference"/>
    <w:basedOn w:val="DefaultParagraphFont"/>
    <w:uiPriority w:val="99"/>
    <w:unhideWhenUsed/>
    <w:rsid w:val="00C64732"/>
    <w:rPr>
      <w:vertAlign w:val="superscript"/>
    </w:rPr>
  </w:style>
</w:styles>
</file>

<file path=word/webSettings.xml><?xml version="1.0" encoding="utf-8"?>
<w:webSettings xmlns:r="http://schemas.openxmlformats.org/officeDocument/2006/relationships" xmlns:w="http://schemas.openxmlformats.org/wordprocessingml/2006/main">
  <w:divs>
    <w:div w:id="175061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3147</Words>
  <Characters>17943</Characters>
  <Application>Microsoft Word 12.0.0</Application>
  <DocSecurity>0</DocSecurity>
  <Lines>149</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rocio.curtifrau@gmail.com</dc:creator>
  <cp:lastModifiedBy>Maria Soledad Martinez Olguin</cp:lastModifiedBy>
  <cp:revision>2</cp:revision>
  <dcterms:created xsi:type="dcterms:W3CDTF">2017-07-18T00:18:00Z</dcterms:created>
  <dcterms:modified xsi:type="dcterms:W3CDTF">2017-07-18T00:18:00Z</dcterms:modified>
</cp:coreProperties>
</file>